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5020" w:tblpY="234"/>
        <w:tblOverlap w:val="never"/>
        <w:tblW w:w="48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851"/>
      </w:tblGrid>
      <w:tr>
        <w:trPr/>
        <w:tc>
          <w:tcPr>
            <w:tcW w:w="4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定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権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者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記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載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欄</w:t>
            </w:r>
          </w:p>
        </w:tc>
      </w:tr>
      <w:tr>
        <w:trPr/>
        <w:tc>
          <w:tcPr>
            <w:tcW w:w="4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left="-178" w:leftChars="-85" w:firstLine="220" w:firstLineChars="10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left="-178" w:leftChars="-85" w:firstLine="220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様式</w:t>
      </w:r>
      <w:r>
        <w:rPr>
          <w:rFonts w:hint="eastAsia" w:ascii="ＭＳ ゴシック" w:hAnsi="ＭＳ ゴシック" w:eastAsia="ＭＳ ゴシック"/>
          <w:sz w:val="22"/>
        </w:rPr>
        <w:t>第</w:t>
      </w:r>
      <w:r>
        <w:rPr>
          <w:rFonts w:hint="default" w:ascii="ＭＳ ゴシック" w:hAnsi="ＭＳ ゴシック" w:eastAsia="ＭＳ ゴシック"/>
          <w:sz w:val="22"/>
        </w:rPr>
        <w:t>５－（</w:t>
      </w:r>
      <w:r>
        <w:rPr>
          <w:rFonts w:hint="eastAsia" w:ascii="ＭＳ ゴシック" w:hAnsi="ＭＳ ゴシック" w:eastAsia="ＭＳ ゴシック"/>
          <w:sz w:val="22"/>
        </w:rPr>
        <w:t>ロ）－②</w:t>
      </w:r>
      <w:r>
        <w:rPr>
          <w:rFonts w:hint="default" w:ascii="ＭＳ ゴシック" w:hAnsi="ＭＳ ゴシック" w:eastAsia="ＭＳ ゴシック"/>
          <w:color w:val="000000"/>
          <w:sz w:val="20"/>
        </w:rPr>
        <w:t>（</w:t>
      </w:r>
      <w:r>
        <w:rPr>
          <w:rFonts w:hint="eastAsia" w:ascii="ＭＳ ゴシック" w:hAnsi="ＭＳ ゴシック" w:eastAsia="ＭＳ ゴシック"/>
          <w:color w:val="000000"/>
          <w:sz w:val="20"/>
        </w:rPr>
        <w:t>※</w:t>
      </w:r>
      <w:r>
        <w:rPr>
          <w:rFonts w:hint="default" w:ascii="ＭＳ ゴシック" w:hAnsi="ＭＳ ゴシック" w:eastAsia="ＭＳ ゴシック"/>
          <w:color w:val="000000"/>
          <w:sz w:val="20"/>
        </w:rPr>
        <w:t>注</w:t>
      </w:r>
      <w:r>
        <w:rPr>
          <w:rFonts w:hint="eastAsia" w:ascii="ＭＳ ゴシック" w:hAnsi="ＭＳ ゴシック" w:eastAsia="ＭＳ ゴシック"/>
          <w:color w:val="000000"/>
          <w:sz w:val="20"/>
        </w:rPr>
        <w:t>１</w:t>
      </w:r>
      <w:r>
        <w:rPr>
          <w:rFonts w:hint="default" w:ascii="ＭＳ ゴシック" w:hAnsi="ＭＳ ゴシック" w:eastAsia="ＭＳ ゴシック"/>
          <w:color w:val="000000"/>
          <w:sz w:val="20"/>
        </w:rPr>
        <w:t>）</w:t>
      </w:r>
    </w:p>
    <w:tbl>
      <w:tblPr>
        <w:tblStyle w:val="11"/>
        <w:tblW w:w="9776" w:type="dxa"/>
        <w:jc w:val="left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776"/>
      </w:tblGrid>
      <w:tr>
        <w:trPr>
          <w:trHeight w:val="9909" w:hRule="atLeast"/>
        </w:trPr>
        <w:tc>
          <w:tcPr>
            <w:tcW w:w="9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中小</w:t>
            </w:r>
            <w:r>
              <w:rPr>
                <w:rFonts w:hint="eastAsia" w:ascii="ＭＳ ゴシック" w:hAnsi="ＭＳ ゴシック" w:eastAsia="ＭＳ ゴシック"/>
              </w:rPr>
              <w:t>企業信用保険</w:t>
            </w:r>
            <w:r>
              <w:rPr>
                <w:rFonts w:hint="default" w:ascii="ＭＳ ゴシック" w:hAnsi="ＭＳ ゴシック" w:eastAsia="ＭＳ ゴシック"/>
              </w:rPr>
              <w:t>法</w:t>
            </w:r>
            <w:r>
              <w:rPr>
                <w:rFonts w:hint="eastAsia" w:ascii="ＭＳ ゴシック" w:hAnsi="ＭＳ ゴシック" w:eastAsia="ＭＳ ゴシック"/>
              </w:rPr>
              <w:t>第</w:t>
            </w:r>
            <w:r>
              <w:rPr>
                <w:rFonts w:hint="default" w:ascii="ＭＳ ゴシック" w:hAnsi="ＭＳ ゴシック" w:eastAsia="ＭＳ ゴシック"/>
              </w:rPr>
              <w:t>２条</w:t>
            </w:r>
            <w:r>
              <w:rPr>
                <w:rFonts w:hint="eastAsia" w:ascii="ＭＳ ゴシック" w:hAnsi="ＭＳ ゴシック" w:eastAsia="ＭＳ ゴシック"/>
              </w:rPr>
              <w:t>第５</w:t>
            </w:r>
            <w:r>
              <w:rPr>
                <w:rFonts w:hint="default" w:ascii="ＭＳ ゴシック" w:hAnsi="ＭＳ ゴシック" w:eastAsia="ＭＳ ゴシック"/>
              </w:rPr>
              <w:t>項</w:t>
            </w:r>
            <w:r>
              <w:rPr>
                <w:rFonts w:hint="eastAsia" w:ascii="ＭＳ ゴシック" w:hAnsi="ＭＳ ゴシック" w:eastAsia="ＭＳ ゴシック"/>
              </w:rPr>
              <w:t>第</w:t>
            </w:r>
            <w:r>
              <w:rPr>
                <w:rFonts w:hint="default" w:ascii="ＭＳ ゴシック" w:hAnsi="ＭＳ ゴシック" w:eastAsia="ＭＳ ゴシック"/>
              </w:rPr>
              <w:t>５号</w:t>
            </w:r>
            <w:r>
              <w:rPr>
                <w:rFonts w:hint="eastAsia" w:ascii="ＭＳ ゴシック" w:hAnsi="ＭＳ ゴシック" w:eastAsia="ＭＳ ゴシック"/>
              </w:rPr>
              <w:t>の規定</w:t>
            </w:r>
            <w:r>
              <w:rPr>
                <w:rFonts w:hint="default" w:ascii="ＭＳ ゴシック" w:hAnsi="ＭＳ ゴシック" w:eastAsia="ＭＳ ゴシック"/>
              </w:rPr>
              <w:t>による認定申請書（</w:t>
            </w:r>
            <w:r>
              <w:rPr>
                <w:rFonts w:hint="eastAsia" w:ascii="ＭＳ ゴシック" w:hAnsi="ＭＳ ゴシック" w:eastAsia="ＭＳ ゴシック"/>
              </w:rPr>
              <w:t>ロ－②</w:t>
            </w:r>
            <w:r>
              <w:rPr>
                <w:rFonts w:hint="default" w:ascii="ＭＳ ゴシック" w:hAnsi="ＭＳ ゴシック" w:eastAsia="ＭＳ ゴシック"/>
              </w:rPr>
              <w:t>）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default" w:ascii="ＭＳ ゴシック" w:hAnsi="ＭＳ ゴシック" w:eastAsia="ＭＳ ゴシック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default" w:ascii="ＭＳ ゴシック" w:hAnsi="ＭＳ ゴシック" w:eastAsia="ＭＳ ゴシック"/>
              </w:rPr>
              <w:t>　　　令和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年</w:t>
            </w:r>
            <w:r>
              <w:rPr>
                <w:rFonts w:hint="eastAsia" w:ascii="ＭＳ ゴシック" w:hAnsi="ＭＳ ゴシック" w:eastAsia="ＭＳ ゴシック"/>
                <w:color w:val="FF0000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日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宿毛</w:t>
            </w:r>
            <w:r>
              <w:rPr>
                <w:rFonts w:hint="default" w:ascii="ＭＳ ゴシック" w:hAnsi="ＭＳ ゴシック" w:eastAsia="ＭＳ ゴシック"/>
              </w:rPr>
              <w:t>毛市長　中　平　　富　宏　様</w:t>
            </w:r>
          </w:p>
          <w:p>
            <w:pPr>
              <w:pStyle w:val="0"/>
              <w:ind w:firstLine="4399" w:firstLineChars="2095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申請者</w:t>
            </w:r>
          </w:p>
          <w:p>
            <w:pPr>
              <w:pStyle w:val="0"/>
              <w:ind w:firstLine="4399" w:firstLineChars="2095"/>
              <w:rPr>
                <w:rFonts w:hint="default" w:ascii="ＭＳ ゴシック" w:hAnsi="ＭＳ ゴシック" w:eastAsia="ＭＳ ゴシック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u w:val="single" w:color="auto"/>
              </w:rPr>
              <w:t>住　所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　　　　　　　　　　</w:t>
            </w:r>
          </w:p>
          <w:p>
            <w:pPr>
              <w:pStyle w:val="0"/>
              <w:ind w:firstLine="4399" w:firstLineChars="2095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u w:val="single" w:color="auto"/>
              </w:rPr>
              <w:t>氏　名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　　　　　　　　　　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u w:val="single" w:color="auto"/>
              </w:rPr>
              <w:t>　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default" w:ascii="ＭＳ ゴシック" w:hAnsi="ＭＳ ゴシック" w:eastAsia="ＭＳ ゴシック"/>
              </w:rPr>
              <w:t>　私</w:t>
            </w:r>
            <w:r>
              <w:rPr>
                <w:rFonts w:hint="eastAsia" w:ascii="ＭＳ ゴシック" w:hAnsi="ＭＳ ゴシック" w:eastAsia="ＭＳ ゴシック"/>
              </w:rPr>
              <w:t>は、</w:t>
            </w:r>
            <w:r>
              <w:rPr>
                <w:rFonts w:hint="eastAsia" w:ascii="ＭＳ ゴシック" w:hAnsi="ＭＳ ゴシック" w:eastAsia="ＭＳ ゴシック"/>
                <w:u w:val="single" w:color="auto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</w:rPr>
              <w:t>業</w:t>
            </w:r>
            <w:r>
              <w:rPr>
                <w:rFonts w:hint="eastAsia" w:ascii="ＭＳ ゴシック" w:hAnsi="ＭＳ ゴシック" w:eastAsia="ＭＳ ゴシック"/>
              </w:rPr>
              <w:t>（注２）</w:t>
            </w:r>
            <w:r>
              <w:rPr>
                <w:rFonts w:hint="default" w:ascii="ＭＳ ゴシック" w:hAnsi="ＭＳ ゴシック" w:eastAsia="ＭＳ ゴシック"/>
              </w:rPr>
              <w:t>を</w:t>
            </w:r>
            <w:r>
              <w:rPr>
                <w:rFonts w:hint="eastAsia" w:ascii="ＭＳ ゴシック" w:hAnsi="ＭＳ ゴシック" w:eastAsia="ＭＳ ゴシック"/>
              </w:rPr>
              <w:t>営んで</w:t>
            </w:r>
            <w:r>
              <w:rPr>
                <w:rFonts w:hint="default" w:ascii="ＭＳ ゴシック" w:hAnsi="ＭＳ ゴシック" w:eastAsia="ＭＳ ゴシック"/>
              </w:rPr>
              <w:t>いるが、</w:t>
            </w:r>
            <w:r>
              <w:rPr>
                <w:rFonts w:hint="eastAsia" w:ascii="ＭＳ ゴシック" w:hAnsi="ＭＳ ゴシック" w:eastAsia="ＭＳ ゴシック"/>
              </w:rPr>
              <w:t>下記</w:t>
            </w:r>
            <w:r>
              <w:rPr>
                <w:rFonts w:hint="default" w:ascii="ＭＳ ゴシック" w:hAnsi="ＭＳ ゴシック" w:eastAsia="ＭＳ ゴシック"/>
              </w:rPr>
              <w:t>の</w:t>
            </w:r>
            <w:r>
              <w:rPr>
                <w:rFonts w:hint="eastAsia" w:ascii="ＭＳ ゴシック" w:hAnsi="ＭＳ ゴシック" w:eastAsia="ＭＳ ゴシック"/>
              </w:rPr>
              <w:t>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記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（１）原油等の仕入単価の上昇（注３）</w:t>
            </w:r>
          </w:p>
          <w:p>
            <w:pPr>
              <w:pStyle w:val="0"/>
              <w:spacing w:line="260" w:lineRule="exact"/>
              <w:ind w:firstLine="630" w:firstLineChars="30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Ｅ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主たる業種に係る上昇率　　　　　　％</w:t>
            </w:r>
          </w:p>
          <w:p>
            <w:pPr>
              <w:pStyle w:val="0"/>
              <w:spacing w:line="260" w:lineRule="exact"/>
              <w:ind w:firstLine="735" w:firstLineChars="35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ｅ　×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－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全体の上昇率　　　　　　　　　　　％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Ｅ：原油等の最近１か月間における平均仕入れ単価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主たる業種に係る平均仕入単価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全体に係る平均仕入単価　　　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ｅ：Ｅの期間に対応する前年１か月間の平均仕入れ単価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主たる業種に係る平均仕入単価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全体に係る平均仕入単価　　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（２）原油等が売上原価に占める割合（注３）</w:t>
            </w:r>
          </w:p>
          <w:p>
            <w:pPr>
              <w:pStyle w:val="0"/>
              <w:spacing w:line="260" w:lineRule="exact"/>
              <w:ind w:firstLine="840" w:firstLineChars="40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Ｓ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主たる業種に係る依存率　　　　　　％</w:t>
            </w:r>
          </w:p>
          <w:p>
            <w:pPr>
              <w:pStyle w:val="0"/>
              <w:spacing w:line="260" w:lineRule="exact"/>
              <w:ind w:firstLine="945" w:firstLineChars="45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Ｃ　×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全体に係る依存率　　　　　　　　　％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Ｃ：申込時点における最新の売上原価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主たる業種に係る売上原価　　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全体に係る売上原価　　　　　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Ｓ：Ｃの売上原価に対応する原油等の仕入価格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主たる業種に係る仕入価格　　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全体に係る売上原価　　　　　　　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（３）製品等価格への転嫁状況（注４）</w:t>
            </w:r>
          </w:p>
          <w:p>
            <w:pPr>
              <w:pStyle w:val="0"/>
              <w:spacing w:line="260" w:lineRule="exact"/>
              <w:ind w:firstLine="840" w:firstLineChars="40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Ａ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ａ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主たる業種に係る転嫁の状況　Ｐ＝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  </w:t>
            </w:r>
          </w:p>
          <w:p>
            <w:pPr>
              <w:pStyle w:val="0"/>
              <w:spacing w:line="260" w:lineRule="exact"/>
              <w:ind w:firstLine="945" w:firstLineChars="450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－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ｂ　　　＝Ｐ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全体に係る転嫁の状況　Ｐ＝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        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Ａ：申込時点における最近３か月間の原油等の仕入価格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主たる業種に係る仕入価格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全体に係る仕入価格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ａ：Ａの期間に対応する前年３か月間の原油等の仕入価格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主たる業種に係る仕入価格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全体に係る仕入価格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Ｂ：申込時点における最近３か月間の売上高　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主たる業種に係る売上高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千円</w:t>
            </w:r>
          </w:p>
          <w:p>
            <w:pPr>
              <w:pStyle w:val="0"/>
              <w:spacing w:line="260" w:lineRule="exact"/>
              <w:rPr>
                <w:rFonts w:hint="default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全体に係る売上高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　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ｂ：Ｂの期間に対応する前年３か月間の売上高　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主たる業種に係る売上高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　千円</w:t>
            </w:r>
          </w:p>
          <w:p>
            <w:pPr>
              <w:pStyle w:val="0"/>
              <w:spacing w:line="260" w:lineRule="exact"/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 xml:space="preserve">     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全体に係る売上高　　　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u w:val="single" w:color="auto"/>
              </w:rPr>
              <w:t>千円</w:t>
            </w:r>
          </w:p>
        </w:tc>
      </w:tr>
    </w:tbl>
    <w:p>
      <w:pPr>
        <w:pStyle w:val="0"/>
        <w:spacing w:line="0" w:lineRule="atLeast"/>
        <w:ind w:left="210" w:hanging="210" w:hangingChars="100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（注１）本様式は、主たる事業（最近１年間の売上高等が最も大きい事業）が属する業種（主たる業</w:t>
      </w:r>
    </w:p>
    <w:p>
      <w:pPr>
        <w:pStyle w:val="0"/>
        <w:spacing w:line="0" w:lineRule="atLeast"/>
        <w:ind w:left="210" w:leftChars="100" w:firstLine="210" w:firstLineChars="100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種）が指定業種である場合であって、主たる業種及び申請者全体の双方が認定基準を満たす場合に</w:t>
      </w:r>
    </w:p>
    <w:p>
      <w:pPr>
        <w:pStyle w:val="0"/>
        <w:spacing w:line="0" w:lineRule="atLeast"/>
        <w:ind w:left="210" w:leftChars="100" w:firstLine="210" w:firstLineChars="100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使用する。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（注２）主たる事業が属する指定業種（日本標準産業分類の細分類番号と細分類業種名）を記載。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（注３）主たる業種及び申請者全体の原油等の仕入単価、売上原価、原油等の仕入価格を記載。上昇</w:t>
      </w:r>
    </w:p>
    <w:p>
      <w:pPr>
        <w:pStyle w:val="0"/>
        <w:spacing w:line="0" w:lineRule="atLeast"/>
        <w:ind w:firstLine="420" w:firstLineChars="200"/>
        <w:jc w:val="left"/>
        <w:rPr>
          <w:rFonts w:hint="eastAsia" w:ascii="ＭＳ ゴシック" w:hAnsi="ＭＳ ゴシック" w:eastAsia="ＭＳ ゴシック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率及び依存率が２０％以上となっていること。</w:t>
      </w:r>
    </w:p>
    <w:p>
      <w:pPr>
        <w:pStyle w:val="0"/>
        <w:spacing w:line="0" w:lineRule="atLeast"/>
        <w:jc w:val="left"/>
        <w:rPr>
          <w:rFonts w:hint="eastAsia" w:ascii="ＭＳ ゴシック" w:hAnsi="ＭＳ ゴシック" w:eastAsia="ＭＳ ゴシック"/>
          <w:color w:val="000000"/>
          <w:sz w:val="22"/>
        </w:rPr>
      </w:pPr>
      <w:r>
        <w:rPr>
          <w:rFonts w:hint="eastAsia" w:ascii="ＭＳ ゴシック" w:hAnsi="ＭＳ ゴシック" w:eastAsia="ＭＳ ゴシック"/>
          <w:color w:val="000000"/>
        </w:rPr>
        <w:t>（注４）主たる業種及び申請者全体の原油等の仕入価格、売上高を記載。Ｐ＞０となっていること。</w:t>
      </w:r>
    </w:p>
    <w:p>
      <w:pPr>
        <w:pStyle w:val="0"/>
        <w:ind w:firstLine="420" w:firstLineChars="20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ind w:firstLine="420" w:firstLineChars="2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  <w:fitText w:val="2310" w:id="1"/>
        </w:rPr>
        <w:t>宿　商　第　　　　　号</w:t>
      </w:r>
      <w:bookmarkStart w:id="0" w:name="_GoBack"/>
      <w:bookmarkEnd w:id="0"/>
    </w:p>
    <w:p>
      <w:pPr>
        <w:pStyle w:val="0"/>
        <w:ind w:firstLine="420" w:firstLineChars="20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fitText w:val="2310" w:id="2"/>
        </w:rPr>
        <w:t>令和　　年　　月　　日</w:t>
      </w:r>
      <w:r>
        <w:rPr>
          <w:rFonts w:hint="eastAsia" w:ascii="ＭＳ ゴシック" w:hAnsi="ＭＳ ゴシック" w:eastAsia="ＭＳ ゴシック"/>
        </w:rPr>
        <w:tab/>
      </w:r>
      <w:r>
        <w:rPr>
          <w:rFonts w:hint="eastAsia" w:ascii="ＭＳ ゴシック" w:hAnsi="ＭＳ ゴシック" w:eastAsia="ＭＳ ゴシック"/>
        </w:rPr>
        <w:tab/>
      </w:r>
    </w:p>
    <w:p>
      <w:pPr>
        <w:pStyle w:val="0"/>
        <w:ind w:firstLine="420" w:firstLine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</w:t>
      </w:r>
      <w:r>
        <w:rPr>
          <w:rFonts w:hint="default" w:ascii="ＭＳ ゴシック" w:hAnsi="ＭＳ ゴシック" w:eastAsia="ＭＳ ゴシック"/>
        </w:rPr>
        <w:t>のとおり、相違ないことを認定します。</w:t>
      </w:r>
    </w:p>
    <w:p>
      <w:pPr>
        <w:pStyle w:val="0"/>
        <w:jc w:val="left"/>
        <w:rPr>
          <w:rFonts w:hint="eastAsia"/>
        </w:rPr>
      </w:pPr>
      <w:r>
        <w:rPr>
          <w:rFonts w:hint="default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default" w:ascii="ＭＳ ゴシック" w:hAnsi="ＭＳ ゴシック" w:eastAsia="ＭＳ ゴシック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</w:rPr>
        <w:t>　　　</w:t>
      </w:r>
      <w:r>
        <w:rPr>
          <w:rFonts w:hint="default" w:ascii="ＭＳ ゴシック" w:hAnsi="ＭＳ ゴシック" w:eastAsia="ＭＳ ゴシック"/>
        </w:rPr>
        <w:t>認定者名　　宿毛市長　中　平　　富　宏</w:t>
      </w:r>
      <w:r>
        <w:rPr>
          <w:rFonts w:hint="eastAsia" w:ascii="ＭＳ ゴシック" w:hAnsi="ＭＳ ゴシック" w:eastAsia="ＭＳ ゴシック"/>
        </w:rPr>
        <w:t>　</w:t>
      </w:r>
    </w:p>
    <w:sectPr>
      <w:pgSz w:w="11906" w:h="16838"/>
      <w:pgMar w:top="340" w:right="1080" w:bottom="3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</Words>
  <Characters>1050</Characters>
  <Application>JUST Note</Application>
  <Lines>57</Lines>
  <Paragraphs>46</Paragraphs>
  <Company>HP Inc.</Company>
  <CharactersWithSpaces>1882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</dc:creator>
  <cp:lastModifiedBy>kanko</cp:lastModifiedBy>
  <dcterms:created xsi:type="dcterms:W3CDTF">2023-08-03T00:07:00Z</dcterms:created>
  <dcterms:modified xsi:type="dcterms:W3CDTF">2023-08-03T00:14:23Z</dcterms:modified>
  <cp:revision>0</cp:revision>
</cp:coreProperties>
</file>