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65"/>
        <w:gridCol w:w="3360"/>
        <w:gridCol w:w="3570"/>
      </w:tblGrid>
      <w:tr>
        <w:trPr>
          <w:trHeight w:val="398" w:hRule="atLeast"/>
        </w:trPr>
        <w:tc>
          <w:tcPr>
            <w:tcW w:w="104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eastAsia" w:ascii="ＭＳ ゴシック" w:hAnsi="ＭＳ ゴシック" w:eastAsia="ＭＳ ゴシック"/>
              </w:rPr>
            </w:pPr>
            <w:r>
              <w:rPr>
                <w:rFonts w:hint="eastAsia" w:ascii="ＭＳ ゴシック" w:hAnsi="ＭＳ ゴシック" w:eastAsia="ＭＳ ゴシック"/>
              </w:rPr>
              <w:t>認　定　権　者　記　載　欄</w:t>
            </w:r>
          </w:p>
        </w:tc>
      </w:tr>
      <w:tr>
        <w:trPr>
          <w:trHeight w:val="53" w:hRule="atLeast"/>
        </w:trPr>
        <w:tc>
          <w:tcPr>
            <w:tcW w:w="3565"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336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3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r>
        <w:trPr>
          <w:trHeight w:val="206" w:hRule="atLeast"/>
        </w:trPr>
        <w:tc>
          <w:tcPr>
            <w:tcW w:w="356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3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kern w:val="0"/>
          <w:sz w:val="20"/>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様式第５－（ロ）－③（注１）</w:t>
      </w:r>
    </w:p>
    <w:tbl>
      <w:tblPr>
        <w:tblStyle w:val="11"/>
        <w:tblW w:w="105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0500"/>
      </w:tblGrid>
      <w:tr>
        <w:trPr/>
        <w:tc>
          <w:tcPr>
            <w:tcW w:w="105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中小企業信用保険法第２条第５項第５号の規定による認定申請書（ロ－③）</w:t>
            </w: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sz w:val="20"/>
              </w:rPr>
            </w:pP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wordWrap w:val="0"/>
              <w:overflowPunct w:val="0"/>
              <w:autoSpaceDE w:val="0"/>
              <w:autoSpaceDN w:val="0"/>
              <w:adjustRightInd w:val="0"/>
              <w:spacing w:line="240" w:lineRule="exact"/>
              <w:ind w:right="695" w:rightChars="331"/>
              <w:jc w:val="righ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令和　　年　　月　　日</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宿毛市長　中　平　　富　宏　様</w:t>
            </w:r>
          </w:p>
          <w:p>
            <w:pPr>
              <w:pStyle w:val="0"/>
              <w:ind w:firstLine="4300" w:firstLineChars="2150"/>
              <w:rPr>
                <w:rFonts w:hint="default" w:ascii="ＭＳ ゴシック" w:hAnsi="ＭＳ ゴシック" w:eastAsia="ＭＳ ゴシック"/>
                <w:sz w:val="20"/>
                <w:u w:val="single" w:color="auto"/>
              </w:rPr>
            </w:pPr>
            <w:r>
              <w:rPr>
                <w:rFonts w:hint="default" w:ascii="ＭＳ ゴシック" w:hAnsi="ＭＳ ゴシック" w:eastAsia="ＭＳ ゴシック"/>
                <w:sz w:val="20"/>
              </w:rPr>
              <w:t>申請者</w:t>
            </w:r>
            <w:r>
              <w:rPr>
                <w:rFonts w:hint="eastAsia" w:ascii="ＭＳ ゴシック" w:hAnsi="ＭＳ ゴシック" w:eastAsia="ＭＳ ゴシック"/>
                <w:sz w:val="20"/>
              </w:rPr>
              <w:t xml:space="preserve"> </w:t>
            </w:r>
            <w:r>
              <w:rPr>
                <w:rFonts w:hint="default" w:ascii="ＭＳ ゴシック" w:hAnsi="ＭＳ ゴシック" w:eastAsia="ＭＳ ゴシック"/>
                <w:sz w:val="20"/>
                <w:u w:val="single" w:color="auto"/>
              </w:rPr>
              <w:t>住　所　</w:t>
            </w:r>
            <w:r>
              <w:rPr>
                <w:rFonts w:hint="eastAsia" w:ascii="ＭＳ ゴシック" w:hAnsi="ＭＳ ゴシック" w:eastAsia="ＭＳ ゴシック"/>
                <w:sz w:val="20"/>
                <w:u w:val="single" w:color="auto"/>
              </w:rPr>
              <w:t>　</w:t>
            </w:r>
            <w:r>
              <w:rPr>
                <w:rFonts w:hint="default" w:ascii="ＭＳ ゴシック" w:hAnsi="ＭＳ ゴシック" w:eastAsia="ＭＳ ゴシック"/>
                <w:sz w:val="20"/>
                <w:u w:val="single" w:color="auto"/>
              </w:rPr>
              <w:t>　　</w:t>
            </w:r>
            <w:r>
              <w:rPr>
                <w:rFonts w:hint="eastAsia" w:ascii="ＭＳ ゴシック" w:hAnsi="ＭＳ ゴシック" w:eastAsia="ＭＳ ゴシック"/>
                <w:sz w:val="20"/>
                <w:u w:val="single" w:color="auto"/>
              </w:rPr>
              <w:t>　</w:t>
            </w:r>
            <w:r>
              <w:rPr>
                <w:rFonts w:hint="default" w:ascii="ＭＳ ゴシック" w:hAnsi="ＭＳ ゴシック" w:eastAsia="ＭＳ ゴシック"/>
                <w:sz w:val="20"/>
                <w:u w:val="single" w:color="auto"/>
              </w:rPr>
              <w:t>　</w:t>
            </w:r>
            <w:r>
              <w:rPr>
                <w:rFonts w:hint="eastAsia" w:ascii="ＭＳ ゴシック" w:hAnsi="ＭＳ ゴシック" w:eastAsia="ＭＳ ゴシック"/>
                <w:sz w:val="20"/>
                <w:u w:val="single" w:color="auto"/>
              </w:rPr>
              <w:t>　</w:t>
            </w:r>
            <w:r>
              <w:rPr>
                <w:rFonts w:hint="default" w:ascii="ＭＳ ゴシック" w:hAnsi="ＭＳ ゴシック" w:eastAsia="ＭＳ ゴシック"/>
                <w:sz w:val="20"/>
                <w:u w:val="single" w:color="auto"/>
              </w:rPr>
              <w:t>　　　　　　　　　　　</w:t>
            </w:r>
            <w:r>
              <w:rPr>
                <w:rFonts w:hint="eastAsia" w:ascii="ＭＳ ゴシック" w:hAnsi="ＭＳ ゴシック" w:eastAsia="ＭＳ ゴシック"/>
                <w:sz w:val="20"/>
                <w:u w:val="single" w:color="auto"/>
              </w:rPr>
              <w:t>　</w:t>
            </w:r>
          </w:p>
          <w:p>
            <w:pPr>
              <w:pStyle w:val="0"/>
              <w:ind w:firstLine="4988" w:firstLineChars="2494"/>
              <w:rPr>
                <w:rFonts w:hint="default" w:ascii="ＭＳ ゴシック" w:hAnsi="ＭＳ ゴシック" w:eastAsia="ＭＳ ゴシック"/>
                <w:sz w:val="20"/>
                <w:u w:val="single" w:color="auto"/>
              </w:rPr>
            </w:pPr>
            <w:r>
              <w:rPr>
                <w:rFonts w:hint="default" w:ascii="ＭＳ ゴシック" w:hAnsi="ＭＳ ゴシック" w:eastAsia="ＭＳ ゴシック"/>
                <w:sz w:val="20"/>
                <w:u w:val="single" w:color="auto"/>
              </w:rPr>
              <w:t>氏　名</w:t>
            </w:r>
            <w:r>
              <w:rPr>
                <w:rFonts w:hint="eastAsia" w:ascii="ＭＳ ゴシック" w:hAnsi="ＭＳ ゴシック" w:eastAsia="ＭＳ ゴシック"/>
                <w:sz w:val="20"/>
                <w:u w:val="single" w:color="auto"/>
              </w:rPr>
              <w:t>　</w:t>
            </w:r>
            <w:r>
              <w:rPr>
                <w:rFonts w:hint="default" w:ascii="ＭＳ ゴシック" w:hAnsi="ＭＳ ゴシック" w:eastAsia="ＭＳ ゴシック"/>
                <w:sz w:val="20"/>
                <w:u w:val="single" w:color="auto"/>
              </w:rPr>
              <w:t>　　</w:t>
            </w:r>
            <w:r>
              <w:rPr>
                <w:rFonts w:hint="eastAsia" w:ascii="ＭＳ ゴシック" w:hAnsi="ＭＳ ゴシック" w:eastAsia="ＭＳ ゴシック"/>
                <w:sz w:val="20"/>
                <w:u w:val="single" w:color="auto"/>
              </w:rPr>
              <w:t>　</w:t>
            </w:r>
            <w:r>
              <w:rPr>
                <w:rFonts w:hint="default" w:ascii="ＭＳ ゴシック" w:hAnsi="ＭＳ ゴシック" w:eastAsia="ＭＳ ゴシック"/>
                <w:sz w:val="20"/>
                <w:u w:val="single" w:color="auto"/>
              </w:rPr>
              <w:t>　</w:t>
            </w:r>
            <w:r>
              <w:rPr>
                <w:rFonts w:hint="eastAsia" w:ascii="ＭＳ ゴシック" w:hAnsi="ＭＳ ゴシック" w:eastAsia="ＭＳ ゴシック"/>
                <w:sz w:val="20"/>
                <w:u w:val="single" w:color="auto"/>
              </w:rPr>
              <w:t>　</w:t>
            </w:r>
            <w:r>
              <w:rPr>
                <w:rFonts w:hint="default" w:ascii="ＭＳ ゴシック" w:hAnsi="ＭＳ ゴシック" w:eastAsia="ＭＳ ゴシック"/>
                <w:sz w:val="20"/>
                <w:u w:val="single" w:color="auto"/>
              </w:rPr>
              <w:t>　　　　　　　　　　　</w:t>
            </w:r>
            <w:r>
              <w:rPr>
                <w:rFonts w:hint="eastAsia" w:ascii="ＭＳ ゴシック" w:hAnsi="ＭＳ ゴシック" w:eastAsia="ＭＳ ゴシック"/>
                <w:sz w:val="20"/>
                <w:u w:val="single" w:color="auto"/>
              </w:rPr>
              <w:t>　</w:t>
            </w:r>
            <w:r>
              <w:rPr>
                <w:rFonts w:hint="default" w:ascii="ＭＳ ゴシック" w:hAnsi="ＭＳ ゴシック" w:eastAsia="ＭＳ ゴシック"/>
                <w:sz w:val="20"/>
                <w:u w:val="single" w:color="auto"/>
              </w:rPr>
              <w:t>　</w:t>
            </w:r>
          </w:p>
          <w:p>
            <w:pPr>
              <w:pStyle w:val="0"/>
              <w:ind w:firstLine="4988" w:firstLineChars="2494"/>
              <w:rPr>
                <w:rFonts w:hint="default" w:ascii="ＭＳ ゴシック" w:hAnsi="ＭＳ ゴシック" w:eastAsia="ＭＳ ゴシック"/>
                <w:sz w:val="20"/>
                <w:u w:val="single" w:color="auto"/>
              </w:rPr>
            </w:pPr>
          </w:p>
          <w:p>
            <w:pPr>
              <w:pStyle w:val="0"/>
              <w:spacing w:line="240" w:lineRule="exact"/>
              <w:ind w:firstLine="210" w:firstLineChars="100"/>
              <w:rPr>
                <w:rFonts w:hint="default" w:ascii="ＭＳ ゴシック" w:hAnsi="ＭＳ ゴシック" w:eastAsia="ＭＳ ゴシック"/>
                <w:sz w:val="20"/>
              </w:rPr>
            </w:pPr>
            <w:r>
              <w:rPr>
                <w:rFonts w:hint="eastAsia" w:ascii="ＭＳ ゴシック" w:hAnsi="ＭＳ ゴシック" w:eastAsia="ＭＳ ゴシック"/>
              </w:rPr>
              <w:t>　</w:t>
            </w:r>
            <w:r>
              <w:rPr>
                <w:rFonts w:hint="eastAsia" w:ascii="ＭＳ ゴシック" w:hAnsi="ＭＳ ゴシック" w:eastAsia="ＭＳ ゴシック"/>
                <w:sz w:val="20"/>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0"/>
              <w:spacing w:line="240" w:lineRule="exact"/>
              <w:ind w:firstLine="200" w:firstLineChars="100"/>
              <w:rPr>
                <w:rFonts w:hint="default" w:ascii="ＭＳ ゴシック" w:hAnsi="ＭＳ ゴシック" w:eastAsia="ＭＳ ゴシック"/>
                <w:sz w:val="20"/>
                <w:u w:val="single" w:color="auto"/>
              </w:rPr>
            </w:pPr>
            <w:r>
              <w:rPr>
                <w:rFonts w:hint="eastAsia" w:ascii="ＭＳ ゴシック" w:hAnsi="ＭＳ ゴシック" w:eastAsia="ＭＳ ゴシック"/>
                <w:sz w:val="20"/>
              </w:rPr>
              <w:t>（表</w:t>
            </w:r>
            <w:r>
              <w:rPr>
                <w:rFonts w:hint="eastAsia" w:ascii="ＭＳ ゴシック" w:hAnsi="ＭＳ ゴシック" w:eastAsia="ＭＳ ゴシック"/>
                <w:sz w:val="20"/>
              </w:rPr>
              <w:t>)</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60"/>
              <w:gridCol w:w="3360"/>
              <w:gridCol w:w="3360"/>
            </w:tblGrid>
            <w:tr>
              <w:trPr>
                <w:trHeight w:val="327" w:hRule="atLeast"/>
              </w:trPr>
              <w:tc>
                <w:tcPr>
                  <w:tcW w:w="3360"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20"/>
                    </w:rPr>
                  </w:pPr>
                </w:p>
              </w:tc>
              <w:tc>
                <w:tcPr>
                  <w:tcW w:w="336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p>
              </w:tc>
            </w:tr>
            <w:tr>
              <w:trPr>
                <w:trHeight w:val="341" w:hRule="atLeast"/>
              </w:trPr>
              <w:tc>
                <w:tcPr>
                  <w:tcW w:w="3360"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p>
              </w:tc>
            </w:tr>
          </w:tbl>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spacing w:val="16"/>
                <w:kern w:val="0"/>
                <w:sz w:val="20"/>
              </w:rPr>
              <w:t>※表には、指定業種であって、原油等の価格の上昇を製品等の価格に転嫁できていない事業が属する業種</w:t>
            </w:r>
            <w:r>
              <w:rPr>
                <w:rFonts w:hint="eastAsia" w:ascii="ＭＳ ゴシック" w:hAnsi="ＭＳ ゴシック" w:eastAsia="ＭＳ ゴシック"/>
                <w:color w:val="000000"/>
                <w:spacing w:val="16"/>
                <w:kern w:val="0"/>
                <w:sz w:val="20"/>
              </w:rPr>
              <w:t>(</w:t>
            </w:r>
            <w:r>
              <w:rPr>
                <w:rFonts w:hint="eastAsia" w:ascii="ＭＳ ゴシック" w:hAnsi="ＭＳ ゴシック" w:eastAsia="ＭＳ ゴシック"/>
                <w:color w:val="000000"/>
                <w:spacing w:val="16"/>
                <w:kern w:val="0"/>
                <w:sz w:val="20"/>
              </w:rPr>
              <w:t>日本標準産業分類の細分類番号と細分類業種名</w:t>
            </w:r>
            <w:r>
              <w:rPr>
                <w:rFonts w:hint="eastAsia" w:ascii="ＭＳ ゴシック" w:hAnsi="ＭＳ ゴシック" w:eastAsia="ＭＳ ゴシック"/>
                <w:color w:val="000000"/>
                <w:spacing w:val="16"/>
                <w:kern w:val="0"/>
                <w:sz w:val="20"/>
              </w:rPr>
              <w:t>)</w:t>
            </w:r>
            <w:r>
              <w:rPr>
                <w:rFonts w:hint="eastAsia" w:ascii="ＭＳ ゴシック" w:hAnsi="ＭＳ ゴシック" w:eastAsia="ＭＳ ゴシック"/>
                <w:color w:val="000000"/>
                <w:spacing w:val="16"/>
                <w:kern w:val="0"/>
                <w:sz w:val="20"/>
              </w:rPr>
              <w:t>を記載。当該指定業種が複数ある場合には、その中で、最近１年間で最も売上高等が大きい事業が属する指定業種を左上の太枠に記載。</w:t>
            </w:r>
          </w:p>
          <w:p>
            <w:pPr>
              <w:pStyle w:val="15"/>
              <w:rPr>
                <w:rFonts w:hint="default"/>
                <w:sz w:val="20"/>
              </w:rPr>
            </w:pPr>
            <w:r>
              <w:rPr>
                <w:rFonts w:hint="eastAsia"/>
                <w:sz w:val="20"/>
              </w:rPr>
              <w:t>記</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sz w:val="2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①上記の表に記載した指定業種（以下同じ。）に係る原油等の仕入単価の上昇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Ｅ</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ｅ</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100</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100</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上昇率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20"/>
                <w:u w:val="single" w:color="000000"/>
              </w:rPr>
            </w:pPr>
            <w:r>
              <w:rPr>
                <w:rFonts w:hint="eastAsia" w:ascii="ＭＳ ゴシック" w:hAnsi="ＭＳ ゴシック" w:eastAsia="ＭＳ ゴシック"/>
                <w:color w:val="000000"/>
                <w:kern w:val="0"/>
                <w:sz w:val="20"/>
              </w:rPr>
              <w:t>　Ｅ：指定業種に係る原油等の最近１か月間における平均仕入れ単価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　　　</w:t>
            </w:r>
            <w:r>
              <w:rPr>
                <w:rFonts w:hint="eastAsia"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千円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ｅ：指定業種に係るＥの期間に対応する前年１か月間の平均仕入れ単価</w:t>
            </w:r>
            <w:r>
              <w:rPr>
                <w:rFonts w:hint="eastAsia" w:ascii="ＭＳ ゴシック" w:hAnsi="ＭＳ ゴシック" w:eastAsia="ＭＳ ゴシック"/>
                <w:color w:val="000000"/>
                <w:spacing w:val="16"/>
                <w:kern w:val="0"/>
                <w:sz w:val="20"/>
              </w:rPr>
              <w:t>　</w:t>
            </w:r>
            <w:r>
              <w:rPr>
                <w:rFonts w:hint="eastAsia" w:ascii="ＭＳ ゴシック" w:hAnsi="ＭＳ ゴシック" w:eastAsia="ＭＳ ゴシック"/>
                <w:color w:val="000000"/>
                <w:spacing w:val="16"/>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千円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②全体の売上原価のうち指定業種に係る原油等の仕入価格が占める割合</w:t>
            </w:r>
          </w:p>
          <w:p>
            <w:pPr>
              <w:pStyle w:val="0"/>
              <w:suppressAutoHyphens w:val="1"/>
              <w:kinsoku w:val="0"/>
              <w:wordWrap w:val="0"/>
              <w:overflowPunct w:val="0"/>
              <w:autoSpaceDE w:val="0"/>
              <w:autoSpaceDN w:val="0"/>
              <w:adjustRightInd w:val="0"/>
              <w:spacing w:line="240" w:lineRule="exact"/>
              <w:ind w:firstLine="1000" w:firstLineChars="50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u w:val="single" w:color="000000"/>
              </w:rPr>
              <w:t>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 xml:space="preserve">100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依存率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Ｃ：申込時点における最新の全体の売上原価</w:t>
            </w:r>
            <w:r>
              <w:rPr>
                <w:rFonts w:hint="eastAsia" w:ascii="ＭＳ ゴシック" w:hAnsi="ＭＳ ゴシック" w:eastAsia="ＭＳ ゴシック"/>
                <w:color w:val="000000"/>
                <w:spacing w:val="16"/>
                <w:kern w:val="0"/>
                <w:sz w:val="20"/>
              </w:rPr>
              <w:t>　　　　　</w:t>
            </w:r>
            <w:r>
              <w:rPr>
                <w:rFonts w:hint="eastAsia" w:ascii="ＭＳ ゴシック" w:hAnsi="ＭＳ ゴシック" w:eastAsia="ＭＳ ゴシック"/>
                <w:color w:val="000000"/>
                <w:spacing w:val="16"/>
                <w:kern w:val="0"/>
                <w:sz w:val="2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千円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Ｓ：Ｃの売上原価に対応する指定業種に係る原油等の仕入価格</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spacing w:val="16"/>
                <w:kern w:val="0"/>
                <w:sz w:val="20"/>
              </w:rPr>
              <w:t>　</w:t>
            </w:r>
            <w:r>
              <w:rPr>
                <w:rFonts w:hint="eastAsia" w:ascii="ＭＳ ゴシック" w:hAnsi="ＭＳ ゴシック" w:eastAsia="ＭＳ ゴシック"/>
                <w:color w:val="000000"/>
                <w:kern w:val="0"/>
                <w:sz w:val="20"/>
                <w:u w:val="single" w:color="000000"/>
              </w:rPr>
              <w:t>　</w:t>
            </w:r>
            <w:r>
              <w:rPr>
                <w:rFonts w:hint="eastAsia"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千円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③－１　指定業種に係る製品等価格への転嫁の状況（注２）</w:t>
            </w:r>
          </w:p>
          <w:p>
            <w:pPr>
              <w:pStyle w:val="0"/>
              <w:suppressAutoHyphens w:val="1"/>
              <w:kinsoku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Ａ１</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u w:val="single" w:color="000000"/>
              </w:rPr>
              <w:t xml:space="preserve">  </w:t>
            </w:r>
            <w:r>
              <w:rPr>
                <w:rFonts w:hint="default"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ａ１</w:t>
            </w:r>
            <w:r>
              <w:rPr>
                <w:rFonts w:hint="default" w:ascii="ＭＳ ゴシック" w:hAnsi="ＭＳ ゴシック" w:eastAsia="ＭＳ ゴシック"/>
                <w:color w:val="000000"/>
                <w:kern w:val="0"/>
                <w:sz w:val="20"/>
                <w:u w:val="single" w:color="000000"/>
              </w:rPr>
              <w:t xml:space="preserve">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Ｂ１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ｂ１</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＝Ｐ１</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Ｐ１＝</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Ａ１：申込時点における最近３か月間の指定業種に係る原油等の仕入価格</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千円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ａ１：Ａ１の期間に対応する前年３か月間の指定業種に係る原油等の仕入価格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　　</w:t>
            </w:r>
            <w:r>
              <w:rPr>
                <w:rFonts w:hint="eastAsia"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千円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Ｂ１：申込時点における最近３か月間の指定業種に係る売上高</w:t>
            </w:r>
            <w:r>
              <w:rPr>
                <w:rFonts w:hint="eastAsia" w:ascii="ＭＳ ゴシック" w:hAnsi="ＭＳ ゴシック" w:eastAsia="ＭＳ ゴシック"/>
                <w:color w:val="000000"/>
                <w:spacing w:val="16"/>
                <w:kern w:val="0"/>
                <w:sz w:val="20"/>
              </w:rPr>
              <w:t>　</w:t>
            </w:r>
            <w:r>
              <w:rPr>
                <w:rFonts w:hint="eastAsia" w:ascii="ＭＳ ゴシック" w:hAnsi="ＭＳ ゴシック" w:eastAsia="ＭＳ ゴシック"/>
                <w:color w:val="000000"/>
                <w:spacing w:val="16"/>
                <w:kern w:val="0"/>
                <w:sz w:val="2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千円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20"/>
                <w:u w:val="single" w:color="000000"/>
              </w:rPr>
            </w:pPr>
            <w:r>
              <w:rPr>
                <w:rFonts w:hint="eastAsia" w:ascii="ＭＳ ゴシック" w:hAnsi="ＭＳ ゴシック" w:eastAsia="ＭＳ ゴシック"/>
                <w:color w:val="000000"/>
                <w:kern w:val="0"/>
                <w:sz w:val="20"/>
              </w:rPr>
              <w:t>　ｂ１：Ｂ１の期間に対応する前年３か月間の指定業種に係る売上高</w:t>
            </w:r>
            <w:r>
              <w:rPr>
                <w:rFonts w:hint="eastAsia" w:ascii="ＭＳ ゴシック" w:hAnsi="ＭＳ ゴシック" w:eastAsia="ＭＳ ゴシック"/>
                <w:color w:val="000000"/>
                <w:spacing w:val="16"/>
                <w:kern w:val="0"/>
                <w:sz w:val="20"/>
              </w:rPr>
              <w:t>　</w:t>
            </w:r>
            <w:r>
              <w:rPr>
                <w:rFonts w:hint="eastAsia" w:ascii="ＭＳ ゴシック" w:hAnsi="ＭＳ ゴシック" w:eastAsia="ＭＳ ゴシック"/>
                <w:color w:val="000000"/>
                <w:spacing w:val="16"/>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千円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③－２　全体に係る製品等価格への転嫁の状況（注２）</w:t>
            </w:r>
          </w:p>
          <w:p>
            <w:pPr>
              <w:pStyle w:val="0"/>
              <w:suppressAutoHyphens w:val="1"/>
              <w:kinsoku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Ａ１</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u w:val="single" w:color="000000"/>
              </w:rPr>
              <w:t xml:space="preserve">  </w:t>
            </w:r>
            <w:r>
              <w:rPr>
                <w:rFonts w:hint="default"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ａ１</w:t>
            </w:r>
            <w:r>
              <w:rPr>
                <w:rFonts w:hint="default" w:ascii="ＭＳ ゴシック" w:hAnsi="ＭＳ ゴシック" w:eastAsia="ＭＳ ゴシック"/>
                <w:color w:val="000000"/>
                <w:kern w:val="0"/>
                <w:sz w:val="20"/>
                <w:u w:val="single" w:color="000000"/>
              </w:rPr>
              <w:t xml:space="preserve">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Ｂ２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ｂ２</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＝Ｐ２</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Ｐ２＝</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Ａ１：申込時点における最近３か月間の指定業種に係る原油等の仕入価格</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千円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ａ１：Ａ１の期間に対応する前年３か月間の指定業種に係る原油等の仕入価格</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　　　　</w:t>
            </w:r>
            <w:r>
              <w:rPr>
                <w:rFonts w:hint="eastAsia" w:ascii="ＭＳ ゴシック" w:hAnsi="ＭＳ ゴシック" w:eastAsia="ＭＳ ゴシック"/>
                <w:color w:val="000000"/>
                <w:kern w:val="0"/>
                <w:sz w:val="20"/>
                <w:u w:val="single" w:color="00000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千円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Ｂ２：申込時点における最近３か月間の全体の売上高　　　　　　　　　　</w:t>
            </w:r>
            <w:r>
              <w:rPr>
                <w:rFonts w:hint="eastAsia" w:ascii="ＭＳ ゴシック" w:hAnsi="ＭＳ ゴシック" w:eastAsia="ＭＳ ゴシック"/>
                <w:color w:val="000000"/>
                <w:spacing w:val="16"/>
                <w:kern w:val="0"/>
                <w:sz w:val="20"/>
              </w:rPr>
              <w:t>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r>
              <w:rPr>
                <w:rFonts w:hint="eastAsia"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千円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ｂ２：Ｂ２の期間に対応する前年３か月間の全体の売上高</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千円</w:t>
            </w:r>
          </w:p>
        </w:tc>
      </w:tr>
    </w:tbl>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（注１）本様式は、指定業種に係る原油等の仕入価格の上昇等を指定業種及び企業全体の製品等の価格に転嫁できていないことによって認定基準を満たす場合に使用する。</w:t>
      </w: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（注２）Ｐ１＞０、かつ、Ｐ２＞０となっていること。</w:t>
      </w: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sz w:val="20"/>
        </w:rPr>
      </w:pPr>
    </w:p>
    <w:p>
      <w:pPr>
        <w:pStyle w:val="0"/>
        <w:suppressAutoHyphens w:val="1"/>
        <w:spacing w:line="280" w:lineRule="exact"/>
        <w:ind w:leftChars="0" w:firstLine="7140" w:firstLineChars="3400"/>
        <w:jc w:val="left"/>
        <w:textAlignment w:val="baseline"/>
        <w:rPr>
          <w:rFonts w:hint="default" w:ascii="ＭＳ ゴシック" w:hAnsi="ＭＳ ゴシック" w:eastAsia="ＭＳ ゴシック"/>
          <w:color w:val="000000"/>
          <w:kern w:val="0"/>
          <w:sz w:val="20"/>
        </w:rPr>
      </w:pPr>
      <w:bookmarkStart w:id="0" w:name="_GoBack"/>
      <w:bookmarkEnd w:id="0"/>
      <w:r>
        <w:rPr>
          <w:rFonts w:hint="eastAsia" w:ascii="ＭＳ ゴシック" w:hAnsi="ＭＳ ゴシック" w:eastAsia="ＭＳ ゴシック"/>
          <w:color w:val="000000"/>
          <w:kern w:val="0"/>
          <w:sz w:val="21"/>
        </w:rPr>
        <w:t>宿　商　第　　　　　号</w:t>
      </w:r>
    </w:p>
    <w:p>
      <w:pPr>
        <w:pStyle w:val="0"/>
        <w:ind w:leftChars="0" w:right="840" w:rightChars="400" w:firstLine="7140" w:firstLineChars="3400"/>
        <w:rPr>
          <w:rFonts w:hint="default" w:ascii="ＭＳ ゴシック" w:hAnsi="ＭＳ ゴシック" w:eastAsia="ＭＳ ゴシック"/>
        </w:rPr>
      </w:pPr>
      <w:r>
        <w:rPr>
          <w:rFonts w:hint="eastAsia" w:ascii="ＭＳ ゴシック" w:hAnsi="ＭＳ ゴシック" w:eastAsia="ＭＳ ゴシック"/>
        </w:rPr>
        <w:t>令和　　年　　月　　日</w:t>
      </w:r>
    </w:p>
    <w:p>
      <w:pPr>
        <w:pStyle w:val="0"/>
        <w:ind w:firstLine="420" w:firstLineChars="200"/>
        <w:jc w:val="left"/>
        <w:rPr>
          <w:rFonts w:hint="default" w:ascii="ＭＳ ゴシック" w:hAnsi="ＭＳ ゴシック" w:eastAsia="ＭＳ ゴシック"/>
        </w:rPr>
      </w:pPr>
      <w:r>
        <w:rPr>
          <w:rFonts w:hint="eastAsia" w:ascii="ＭＳ ゴシック" w:hAnsi="ＭＳ ゴシック" w:eastAsia="ＭＳ ゴシック"/>
        </w:rPr>
        <w:t>申請</w:t>
      </w:r>
      <w:r>
        <w:rPr>
          <w:rFonts w:hint="default" w:ascii="ＭＳ ゴシック" w:hAnsi="ＭＳ ゴシック" w:eastAsia="ＭＳ ゴシック"/>
        </w:rPr>
        <w:t>のとおり、相違ないことを認定します。</w:t>
      </w:r>
    </w:p>
    <w:p>
      <w:pPr>
        <w:pStyle w:val="0"/>
        <w:jc w:val="left"/>
        <w:rPr>
          <w:rFonts w:hint="default" w:ascii="ＭＳ ゴシック" w:hAnsi="ＭＳ ゴシック" w:eastAsia="ＭＳ ゴシック"/>
        </w:rPr>
      </w:pPr>
      <w:r>
        <w:rPr>
          <w:rFonts w:hint="default" w:ascii="ＭＳ ゴシック" w:hAnsi="ＭＳ ゴシック" w:eastAsia="ＭＳ ゴシック"/>
        </w:rPr>
        <w:t>　</w:t>
      </w:r>
      <w:r>
        <w:rPr>
          <w:rFonts w:hint="eastAsia" w:ascii="ＭＳ ゴシック" w:hAnsi="ＭＳ ゴシック" w:eastAsia="ＭＳ ゴシック"/>
        </w:rPr>
        <w:t>　</w:t>
      </w:r>
      <w:r>
        <w:rPr>
          <w:rFonts w:hint="default" w:ascii="ＭＳ ゴシック" w:hAnsi="ＭＳ ゴシック" w:eastAsia="ＭＳ ゴシック"/>
        </w:rPr>
        <w:t>　　　　　　　　　　　　　　　　　　　</w:t>
      </w:r>
      <w:r>
        <w:rPr>
          <w:rFonts w:hint="eastAsia" w:ascii="ＭＳ ゴシック" w:hAnsi="ＭＳ ゴシック" w:eastAsia="ＭＳ ゴシック"/>
        </w:rPr>
        <w:t>　　　</w:t>
      </w:r>
      <w:r>
        <w:rPr>
          <w:rFonts w:hint="default" w:ascii="ＭＳ ゴシック" w:hAnsi="ＭＳ ゴシック" w:eastAsia="ＭＳ ゴシック"/>
        </w:rPr>
        <w:t>認定者名　　宿毛市長　中　平　　富　宏</w:t>
      </w:r>
      <w:r>
        <w:rPr>
          <w:rFonts w:hint="eastAsia" w:ascii="ＭＳ ゴシック" w:hAnsi="ＭＳ ゴシック" w:eastAsia="ＭＳ ゴシック"/>
        </w:rPr>
        <w:t>　</w:t>
      </w:r>
    </w:p>
    <w:p>
      <w:pPr>
        <w:pStyle w:val="0"/>
        <w:jc w:val="left"/>
        <w:rPr>
          <w:rFonts w:hint="eastAsia" w:ascii="ＭＳ ゴシック" w:hAnsi="ＭＳ ゴシック" w:eastAsia="ＭＳ ゴシック"/>
        </w:rPr>
      </w:pPr>
    </w:p>
    <w:p>
      <w:pPr>
        <w:pStyle w:val="0"/>
        <w:rPr>
          <w:rFonts w:hint="eastAsia"/>
        </w:rPr>
      </w:pPr>
    </w:p>
    <w:sectPr>
      <w:pgSz w:w="11906" w:h="16838"/>
      <w:pgMar w:top="397" w:right="720" w:bottom="397"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ゴシック"/>
      <w:dstrike w:val="0"/>
      <w:color w:val="auto"/>
      <w:w w:val="100"/>
      <w:kern w:val="2"/>
      <w:sz w:val="21"/>
      <w:highlight w:val="none"/>
      <w:u w:val="none" w:color="auto"/>
      <w:bdr w:val="none" w:color="auto" w:sz="0" w:space="0"/>
      <w:shd w:val="clear" w:color="auto" w:fill="auto"/>
      <w:vertAlign w:val="baseline"/>
      <w:em w:val="none"/>
    </w:rPr>
  </w:style>
  <w:style w:type="character" w:styleId="16" w:customStyle="1">
    <w:name w:val="記 (文字)"/>
    <w:next w:val="16"/>
    <w:link w:val="15"/>
    <w:uiPriority w:val="0"/>
    <w:rPr>
      <w:rFonts w:eastAsia="ＭＳ ゴシック"/>
      <w:kern w:val="2"/>
      <w:sz w:val="21"/>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3</Words>
  <Characters>1055</Characters>
  <Application>JUST Note</Application>
  <Lines>67</Lines>
  <Paragraphs>41</Paragraphs>
  <Company>HP Inc.</Company>
  <CharactersWithSpaces>1750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kanko</dc:creator>
  <cp:lastModifiedBy>kanko</cp:lastModifiedBy>
  <dcterms:created xsi:type="dcterms:W3CDTF">2023-08-03T00:17:00Z</dcterms:created>
  <dcterms:modified xsi:type="dcterms:W3CDTF">2023-08-03T00:19:10Z</dcterms:modified>
  <cp:revision>0</cp:revision>
</cp:coreProperties>
</file>