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令</w:t>
      </w:r>
      <w:bookmarkStart w:id="0" w:name="_GoBack"/>
      <w:bookmarkEnd w:id="0"/>
      <w:r>
        <w:rPr>
          <w:rFonts w:hint="eastAsia"/>
        </w:rPr>
        <w:t>和５年度宿毛市介護人材定着支援金（ヘルパー確保分）交付要綱</w:t>
      </w:r>
    </w:p>
    <w:p>
      <w:pPr>
        <w:pStyle w:val="0"/>
        <w:rPr>
          <w:rFonts w:hint="default"/>
        </w:rPr>
      </w:pPr>
    </w:p>
    <w:p>
      <w:pPr>
        <w:pStyle w:val="0"/>
        <w:rPr>
          <w:rFonts w:hint="default"/>
        </w:rPr>
      </w:pPr>
      <w:r>
        <w:rPr>
          <w:rFonts w:hint="eastAsia"/>
        </w:rPr>
        <w:t>　（趣旨）</w:t>
      </w:r>
    </w:p>
    <w:p>
      <w:pPr>
        <w:pStyle w:val="0"/>
        <w:ind w:left="245" w:hanging="245" w:hangingChars="100"/>
        <w:rPr>
          <w:rFonts w:hint="default"/>
        </w:rPr>
      </w:pPr>
      <w:r>
        <w:rPr>
          <w:rFonts w:hint="eastAsia"/>
        </w:rPr>
        <w:t>第１条　</w:t>
      </w:r>
      <w:r>
        <w:rPr>
          <w:rFonts w:hint="default" w:ascii="ＭＳ 明朝" w:hAnsi="ＭＳ 明朝"/>
          <w:spacing w:val="6"/>
          <w:kern w:val="0"/>
          <w:fitText w:val="8085" w:id="1"/>
        </w:rPr>
        <w:t>この</w:t>
      </w:r>
      <w:r>
        <w:rPr>
          <w:rFonts w:hint="eastAsia"/>
          <w:spacing w:val="6"/>
          <w:kern w:val="0"/>
          <w:fitText w:val="8085" w:id="1"/>
        </w:rPr>
        <w:t>要綱</w:t>
      </w:r>
      <w:r>
        <w:rPr>
          <w:rFonts w:hint="default" w:ascii="ＭＳ 明朝" w:hAnsi="ＭＳ 明朝"/>
          <w:spacing w:val="6"/>
          <w:kern w:val="0"/>
          <w:fitText w:val="8085" w:id="1"/>
        </w:rPr>
        <w:t>は</w:t>
      </w:r>
      <w:r>
        <w:rPr>
          <w:rFonts w:hint="eastAsia"/>
          <w:spacing w:val="6"/>
          <w:kern w:val="0"/>
          <w:fitText w:val="8085" w:id="1"/>
        </w:rPr>
        <w:t>、宿毛市補助金交付規則（昭和４８年宿毛市規則第９号）</w:t>
      </w:r>
      <w:r>
        <w:rPr>
          <w:rFonts w:hint="eastAsia"/>
          <w:spacing w:val="16"/>
          <w:kern w:val="0"/>
          <w:fitText w:val="8085" w:id="1"/>
        </w:rPr>
        <w:t>第</w:t>
      </w:r>
      <w:r>
        <w:rPr>
          <w:rFonts w:hint="eastAsia"/>
        </w:rPr>
        <w:t>１９条の規定により宿毛市介護人材定着支援金（ヘルパー確保分）（以下「支援金」という。）の交付に関し、必要な事項を定めるものとする。</w:t>
      </w:r>
    </w:p>
    <w:p>
      <w:pPr>
        <w:pStyle w:val="0"/>
        <w:rPr>
          <w:rFonts w:hint="default"/>
        </w:rPr>
      </w:pPr>
      <w:r>
        <w:rPr>
          <w:rFonts w:hint="eastAsia"/>
        </w:rPr>
        <w:t>　（目的）</w:t>
      </w:r>
    </w:p>
    <w:p>
      <w:pPr>
        <w:pStyle w:val="0"/>
        <w:ind w:left="245" w:hanging="245" w:hangingChars="100"/>
        <w:rPr>
          <w:rFonts w:hint="default"/>
        </w:rPr>
      </w:pPr>
      <w:r>
        <w:rPr>
          <w:rFonts w:hint="eastAsia"/>
        </w:rPr>
        <w:t>第２条　市長は、</w:t>
      </w:r>
      <w:r>
        <w:rPr>
          <w:rFonts w:hint="default" w:ascii="ＭＳ 明朝" w:hAnsi="ＭＳ 明朝"/>
        </w:rPr>
        <w:t>介護人材の</w:t>
      </w:r>
      <w:r>
        <w:rPr>
          <w:rFonts w:hint="eastAsia"/>
        </w:rPr>
        <w:t>定着及び介護保険サービスを安定的に提供できる体制を構築することを目的として、宿毛市内の介護保険事業所等において新たにヘルパー（主にヘルパー業務に従事する介護職員をいう。以下同じ。）として就業した者に対し、予算の範囲内において支援金を交付する。</w:t>
      </w:r>
    </w:p>
    <w:p>
      <w:pPr>
        <w:pStyle w:val="0"/>
        <w:rPr>
          <w:rFonts w:hint="default"/>
        </w:rPr>
      </w:pPr>
      <w:r>
        <w:rPr>
          <w:rFonts w:hint="eastAsia"/>
        </w:rPr>
        <w:t>　（交付対象者及び交付額）</w:t>
      </w:r>
    </w:p>
    <w:p>
      <w:pPr>
        <w:pStyle w:val="0"/>
        <w:ind w:left="245" w:hanging="245" w:hangingChars="100"/>
        <w:rPr>
          <w:rFonts w:hint="default"/>
        </w:rPr>
      </w:pPr>
      <w:r>
        <w:rPr>
          <w:rFonts w:hint="eastAsia"/>
        </w:rPr>
        <w:t>第３条　支援</w:t>
      </w:r>
      <w:r>
        <w:rPr>
          <w:rFonts w:hint="default" w:ascii="ＭＳ 明朝" w:hAnsi="ＭＳ 明朝"/>
        </w:rPr>
        <w:t>金の交付の対象となる者</w:t>
      </w:r>
      <w:r>
        <w:rPr>
          <w:rFonts w:hint="eastAsia"/>
        </w:rPr>
        <w:t>及び交付額は、別表第１に掲げるとおりとする。</w:t>
      </w:r>
    </w:p>
    <w:p>
      <w:pPr>
        <w:pStyle w:val="0"/>
        <w:rPr>
          <w:rFonts w:hint="default"/>
        </w:rPr>
      </w:pPr>
      <w:r>
        <w:rPr>
          <w:rFonts w:hint="eastAsia"/>
        </w:rPr>
        <w:t>　（支援金の交付申請）</w:t>
      </w:r>
    </w:p>
    <w:p>
      <w:pPr>
        <w:pStyle w:val="0"/>
        <w:ind w:left="245" w:hanging="245" w:hangingChars="100"/>
        <w:rPr>
          <w:rFonts w:hint="default"/>
        </w:rPr>
      </w:pPr>
      <w:r>
        <w:rPr>
          <w:rFonts w:hint="eastAsia"/>
        </w:rPr>
        <w:t>第４条　支援</w:t>
      </w:r>
      <w:r>
        <w:rPr>
          <w:rFonts w:hint="default" w:ascii="ＭＳ 明朝" w:hAnsi="ＭＳ 明朝"/>
        </w:rPr>
        <w:t>金の交付を受けようとする者（以下「申請者」という。）は</w:t>
      </w:r>
      <w:r>
        <w:rPr>
          <w:rFonts w:hint="eastAsia"/>
        </w:rPr>
        <w:t>、支援金交付申請書兼請求書（第１号様式）に別表第１に掲げる書類を添えて、市長に提出しなければならない。</w:t>
      </w:r>
    </w:p>
    <w:p>
      <w:pPr>
        <w:pStyle w:val="0"/>
        <w:ind w:left="245" w:hanging="245" w:hangingChars="100"/>
        <w:rPr>
          <w:rFonts w:hint="default"/>
        </w:rPr>
      </w:pPr>
      <w:r>
        <w:rPr>
          <w:rFonts w:hint="eastAsia"/>
        </w:rPr>
        <w:t>２　前項に掲げる交付申請書兼請求書の提出期限は、令和６年３月１９日とする。</w:t>
      </w:r>
    </w:p>
    <w:p>
      <w:pPr>
        <w:pStyle w:val="0"/>
        <w:rPr>
          <w:rFonts w:hint="default"/>
        </w:rPr>
      </w:pPr>
      <w:r>
        <w:rPr>
          <w:rFonts w:hint="eastAsia"/>
        </w:rPr>
        <w:t>　（支援金の交付決定）</w:t>
      </w:r>
    </w:p>
    <w:p>
      <w:pPr>
        <w:pStyle w:val="0"/>
        <w:ind w:left="245" w:hanging="245" w:hangingChars="100"/>
        <w:rPr>
          <w:rFonts w:hint="default"/>
        </w:rPr>
      </w:pPr>
      <w:r>
        <w:rPr>
          <w:rFonts w:hint="eastAsia"/>
        </w:rPr>
        <w:t>第５条　</w:t>
      </w:r>
      <w:r>
        <w:rPr>
          <w:rFonts w:hint="default" w:ascii="ＭＳ 明朝" w:hAnsi="ＭＳ 明朝"/>
        </w:rPr>
        <w:t>市長は、前条の規定による申請があったときは、その内容を審査し</w:t>
      </w:r>
      <w:r>
        <w:rPr>
          <w:rFonts w:hint="eastAsia"/>
        </w:rPr>
        <w:t>その適否を決定し、支援金交付（不交付）決定通知書（ヘルパー確保分）（第３号様式）により申請者に通知するものとする。</w:t>
      </w:r>
    </w:p>
    <w:p>
      <w:pPr>
        <w:pStyle w:val="0"/>
        <w:ind w:left="245" w:hanging="245" w:hangingChars="100"/>
        <w:rPr>
          <w:rFonts w:hint="default"/>
        </w:rPr>
      </w:pPr>
      <w:r>
        <w:rPr>
          <w:rFonts w:hint="eastAsia"/>
        </w:rPr>
        <w:t>２　市長は、前項の交付決定をした場合においては、申請書を支援金の請求書とみなし、支援金を交付するものとする。</w:t>
      </w:r>
    </w:p>
    <w:p>
      <w:pPr>
        <w:pStyle w:val="0"/>
        <w:rPr>
          <w:rFonts w:hint="default"/>
        </w:rPr>
      </w:pPr>
      <w:r>
        <w:rPr>
          <w:rFonts w:hint="eastAsia"/>
        </w:rPr>
        <w:t>　（交付決定の取消及び返還）</w:t>
      </w:r>
    </w:p>
    <w:p>
      <w:pPr>
        <w:pStyle w:val="0"/>
        <w:ind w:left="245" w:hanging="245" w:hangingChars="100"/>
        <w:rPr>
          <w:rFonts w:hint="default"/>
        </w:rPr>
      </w:pPr>
      <w:r>
        <w:rPr>
          <w:rFonts w:hint="eastAsia"/>
        </w:rPr>
        <w:t>第６条　</w:t>
      </w:r>
      <w:r>
        <w:rPr>
          <w:rFonts w:hint="default" w:ascii="ＭＳ 明朝" w:hAnsi="ＭＳ 明朝"/>
        </w:rPr>
        <w:t>市長は、申請により</w:t>
      </w:r>
      <w:r>
        <w:rPr>
          <w:rFonts w:hint="eastAsia"/>
        </w:rPr>
        <w:t>支援</w:t>
      </w:r>
      <w:r>
        <w:rPr>
          <w:rFonts w:hint="default" w:ascii="ＭＳ 明朝" w:hAnsi="ＭＳ 明朝"/>
        </w:rPr>
        <w:t>金の交付決定を受けた者（以下「交付決定者」という。）</w:t>
      </w:r>
      <w:r>
        <w:rPr>
          <w:rFonts w:hint="eastAsia"/>
        </w:rPr>
        <w:t>が次の各号のいずれかに該当すると認めるときは</w:t>
      </w:r>
      <w:r>
        <w:rPr>
          <w:rFonts w:hint="default" w:ascii="ＭＳ 明朝" w:hAnsi="ＭＳ 明朝"/>
        </w:rPr>
        <w:t>、</w:t>
      </w:r>
      <w:r>
        <w:rPr>
          <w:rFonts w:hint="eastAsia"/>
        </w:rPr>
        <w:t>支援金の交付の決定の全部又は一部を取り消すことができる。</w:t>
      </w:r>
    </w:p>
    <w:p>
      <w:pPr>
        <w:pStyle w:val="0"/>
        <w:rPr>
          <w:rFonts w:hint="default"/>
        </w:rPr>
      </w:pPr>
      <w:r>
        <w:rPr>
          <w:rFonts w:hint="eastAsia"/>
        </w:rPr>
        <w:t>　</w:t>
      </w:r>
      <w:r>
        <w:rPr>
          <w:rFonts w:hint="eastAsia"/>
        </w:rPr>
        <w:t>(1)</w:t>
      </w:r>
      <w:r>
        <w:rPr>
          <w:rFonts w:hint="default"/>
        </w:rPr>
        <w:t xml:space="preserve"> </w:t>
      </w:r>
      <w:r>
        <w:rPr>
          <w:rFonts w:hint="eastAsia"/>
        </w:rPr>
        <w:t>支援</w:t>
      </w:r>
      <w:r>
        <w:rPr>
          <w:rFonts w:hint="default" w:ascii="ＭＳ 明朝" w:hAnsi="ＭＳ 明朝"/>
        </w:rPr>
        <w:t>金の申請に関し、偽りその他の不正の行為があったと認めたとき。</w:t>
      </w:r>
    </w:p>
    <w:p>
      <w:pPr>
        <w:pStyle w:val="0"/>
        <w:rPr>
          <w:rFonts w:hint="default"/>
        </w:rPr>
      </w:pPr>
      <w:r>
        <w:rPr>
          <w:rFonts w:hint="eastAsia"/>
        </w:rPr>
        <w:t>　</w:t>
      </w:r>
      <w:r>
        <w:rPr>
          <w:rFonts w:hint="eastAsia"/>
        </w:rPr>
        <w:t xml:space="preserve">(2) </w:t>
      </w:r>
      <w:r>
        <w:rPr>
          <w:rFonts w:hint="eastAsia"/>
        </w:rPr>
        <w:t>交付決定者が、別表第２に掲げるいずれかに該当すると認められるとき。</w:t>
      </w:r>
    </w:p>
    <w:p>
      <w:pPr>
        <w:pStyle w:val="0"/>
        <w:rPr>
          <w:rFonts w:hint="default"/>
        </w:rPr>
      </w:pPr>
      <w:r>
        <w:rPr>
          <w:rFonts w:hint="eastAsia"/>
        </w:rPr>
        <w:t>　</w:t>
      </w:r>
      <w:r>
        <w:rPr>
          <w:rFonts w:hint="eastAsia"/>
        </w:rPr>
        <w:t xml:space="preserve">(3) </w:t>
      </w:r>
      <w:r>
        <w:rPr>
          <w:rFonts w:hint="default" w:ascii="ＭＳ 明朝" w:hAnsi="ＭＳ 明朝"/>
        </w:rPr>
        <w:t>その他市長が交付決定を取り消す必要があると認めたとき。</w:t>
      </w:r>
    </w:p>
    <w:p>
      <w:pPr>
        <w:pStyle w:val="0"/>
        <w:ind w:left="245" w:hanging="245" w:hangingChars="100"/>
        <w:rPr>
          <w:rFonts w:hint="default"/>
        </w:rPr>
      </w:pPr>
      <w:r>
        <w:rPr>
          <w:rFonts w:hint="eastAsia"/>
        </w:rPr>
        <w:t>２　</w:t>
      </w:r>
      <w:r>
        <w:rPr>
          <w:rFonts w:hint="default" w:ascii="ＭＳ 明朝" w:hAnsi="ＭＳ 明朝"/>
        </w:rPr>
        <w:t>市長は、前項の規定により</w:t>
      </w:r>
      <w:r>
        <w:rPr>
          <w:rFonts w:hint="eastAsia"/>
        </w:rPr>
        <w:t>支援金の交付決定の全部又は一部を取り消したときは、交付決定者に通知するものとする。</w:t>
      </w:r>
    </w:p>
    <w:p>
      <w:pPr>
        <w:pStyle w:val="0"/>
        <w:ind w:left="245" w:hanging="245" w:hangingChars="100"/>
        <w:rPr>
          <w:rFonts w:hint="default"/>
        </w:rPr>
      </w:pPr>
      <w:r>
        <w:rPr>
          <w:rFonts w:hint="eastAsia"/>
        </w:rPr>
        <w:t>３　市長は、第</w:t>
      </w:r>
      <w:r>
        <w:rPr>
          <w:rFonts w:hint="eastAsia"/>
        </w:rPr>
        <w:t>1</w:t>
      </w:r>
      <w:r>
        <w:rPr>
          <w:rFonts w:hint="eastAsia"/>
        </w:rPr>
        <w:t>項の規定により交付決定の取消をしたときは、期限を定めて、交付決定者に対して当該支援金の全部又は一部の返還を命じることができる。この場合において、交付決定者は、遅延なくこれを市長に返還しなければならない。</w:t>
      </w:r>
    </w:p>
    <w:p>
      <w:pPr>
        <w:pStyle w:val="0"/>
        <w:ind w:left="245" w:hanging="245" w:hangingChars="100"/>
        <w:rPr>
          <w:rFonts w:hint="default"/>
        </w:rPr>
      </w:pPr>
      <w:r>
        <w:rPr>
          <w:rFonts w:hint="eastAsia"/>
        </w:rPr>
        <w:t>４　</w:t>
      </w:r>
      <w:r>
        <w:rPr>
          <w:rFonts w:hint="default" w:ascii="ＭＳ 明朝" w:hAnsi="ＭＳ 明朝"/>
        </w:rPr>
        <w:t>市長は、</w:t>
      </w:r>
      <w:r>
        <w:rPr>
          <w:rFonts w:hint="eastAsia"/>
        </w:rPr>
        <w:t>第</w:t>
      </w:r>
      <w:r>
        <w:rPr>
          <w:rFonts w:hint="eastAsia"/>
        </w:rPr>
        <w:t>1</w:t>
      </w:r>
      <w:r>
        <w:rPr>
          <w:rFonts w:hint="eastAsia"/>
        </w:rPr>
        <w:t>項の規定による支援</w:t>
      </w:r>
      <w:r>
        <w:rPr>
          <w:rFonts w:hint="default" w:ascii="ＭＳ 明朝" w:hAnsi="ＭＳ 明朝"/>
        </w:rPr>
        <w:t>金の取消により交付決定者に損害が生じることがあってもその賠</w:t>
      </w:r>
      <w:r>
        <w:rPr>
          <w:rFonts w:hint="eastAsia"/>
        </w:rPr>
        <w:t>償の責めを負わない。</w:t>
      </w:r>
    </w:p>
    <w:p>
      <w:pPr>
        <w:pStyle w:val="0"/>
        <w:rPr>
          <w:rFonts w:hint="default"/>
        </w:rPr>
      </w:pPr>
      <w:r>
        <w:rPr>
          <w:rFonts w:hint="eastAsia"/>
        </w:rPr>
        <w:t>　（委任）</w:t>
      </w:r>
    </w:p>
    <w:p>
      <w:pPr>
        <w:pStyle w:val="0"/>
        <w:ind w:left="245" w:hanging="245" w:hangingChars="100"/>
        <w:rPr>
          <w:rFonts w:hint="default"/>
        </w:rPr>
      </w:pPr>
      <w:r>
        <w:rPr>
          <w:rFonts w:hint="eastAsia"/>
        </w:rPr>
        <w:t>第７条　</w:t>
      </w:r>
      <w:r>
        <w:rPr>
          <w:rFonts w:hint="default" w:ascii="ＭＳ 明朝" w:hAnsi="ＭＳ 明朝"/>
        </w:rPr>
        <w:t>この要綱に定めるもののほか、</w:t>
      </w:r>
      <w:r>
        <w:rPr>
          <w:rFonts w:hint="eastAsia"/>
        </w:rPr>
        <w:t>支援</w:t>
      </w:r>
      <w:r>
        <w:rPr>
          <w:rFonts w:hint="default" w:ascii="ＭＳ 明朝" w:hAnsi="ＭＳ 明朝"/>
        </w:rPr>
        <w:t>金の交付に関し必要な事項は、市長が定め</w:t>
      </w:r>
      <w:r>
        <w:rPr>
          <w:rFonts w:hint="eastAsia"/>
        </w:rPr>
        <w:t>る。</w:t>
      </w:r>
    </w:p>
    <w:p>
      <w:pPr>
        <w:pStyle w:val="0"/>
        <w:ind w:firstLine="735" w:firstLineChars="300"/>
        <w:rPr>
          <w:rFonts w:hint="default"/>
        </w:rPr>
      </w:pPr>
      <w:r>
        <w:rPr>
          <w:rFonts w:hint="eastAsia"/>
        </w:rPr>
        <w:t>附　</w:t>
      </w:r>
      <w:r>
        <w:rPr>
          <w:rFonts w:hint="default" w:ascii="ＭＳ 明朝" w:hAnsi="ＭＳ 明朝"/>
        </w:rPr>
        <w:t>則</w:t>
      </w:r>
    </w:p>
    <w:p>
      <w:pPr>
        <w:pStyle w:val="0"/>
        <w:rPr>
          <w:rFonts w:hint="default"/>
        </w:rPr>
      </w:pPr>
      <w:r>
        <w:rPr>
          <w:rFonts w:hint="eastAsia"/>
        </w:rPr>
        <w:t>　（施行期日）</w:t>
      </w:r>
    </w:p>
    <w:p>
      <w:pPr>
        <w:pStyle w:val="0"/>
        <w:rPr>
          <w:rFonts w:hint="default"/>
        </w:rPr>
      </w:pPr>
      <w:r>
        <w:rPr>
          <w:rFonts w:hint="eastAsia"/>
        </w:rPr>
        <w:t>１　この告示は、令和５年４</w:t>
      </w:r>
      <w:r>
        <w:rPr>
          <w:rFonts w:hint="default" w:ascii="ＭＳ 明朝" w:hAnsi="ＭＳ 明朝"/>
        </w:rPr>
        <w:t>月</w:t>
      </w:r>
      <w:r>
        <w:rPr>
          <w:rFonts w:hint="eastAsia" w:ascii="ＭＳ 明朝" w:hAnsi="ＭＳ 明朝"/>
        </w:rPr>
        <w:t>３</w:t>
      </w:r>
      <w:r>
        <w:rPr>
          <w:rFonts w:hint="default" w:ascii="ＭＳ 明朝" w:hAnsi="ＭＳ 明朝"/>
        </w:rPr>
        <w:t>日から施行する。</w:t>
      </w:r>
    </w:p>
    <w:p>
      <w:pPr>
        <w:pStyle w:val="0"/>
        <w:rPr>
          <w:rFonts w:hint="default"/>
        </w:rPr>
      </w:pPr>
      <w:r>
        <w:rPr>
          <w:rFonts w:hint="eastAsia"/>
        </w:rPr>
        <w:t>　（この告示の失効）</w:t>
      </w:r>
    </w:p>
    <w:p>
      <w:pPr>
        <w:pStyle w:val="0"/>
        <w:ind w:left="245" w:hanging="245" w:hangingChars="100"/>
        <w:rPr>
          <w:rFonts w:hint="default"/>
        </w:rPr>
      </w:pPr>
      <w:r>
        <w:rPr>
          <w:rFonts w:hint="eastAsia"/>
        </w:rPr>
        <w:t>２　この告示は、令和６年５月３１日限り、その効力を失う。ただし、第６条の規定については、同日後もなおその効力を有する。</w:t>
      </w:r>
    </w:p>
    <w:p>
      <w:pPr>
        <w:pStyle w:val="0"/>
        <w:rPr>
          <w:rFonts w:hint="default"/>
        </w:rPr>
      </w:pPr>
    </w:p>
    <w:p>
      <w:pPr>
        <w:rPr>
          <w:rFonts w:hint="default"/>
        </w:rPr>
        <w:sectPr>
          <w:pgSz w:w="11906" w:h="16838"/>
          <w:pgMar w:top="1418" w:right="1134" w:bottom="1418" w:left="1701" w:header="851" w:footer="992" w:gutter="0"/>
          <w:cols w:space="720"/>
          <w:textDirection w:val="lrTb"/>
          <w:docGrid w:type="linesAndChars" w:linePitch="400" w:charSpace="1057"/>
        </w:sectPr>
      </w:pPr>
    </w:p>
    <w:p>
      <w:pPr>
        <w:pStyle w:val="0"/>
        <w:rPr>
          <w:rFonts w:hint="default"/>
        </w:rPr>
      </w:pPr>
    </w:p>
    <w:p>
      <w:pPr>
        <w:pStyle w:val="0"/>
        <w:rPr>
          <w:rFonts w:hint="default"/>
        </w:rPr>
      </w:pPr>
    </w:p>
    <w:p>
      <w:pPr>
        <w:pStyle w:val="0"/>
        <w:ind w:firstLine="480" w:firstLineChars="200"/>
        <w:rPr>
          <w:rFonts w:hint="default"/>
          <w:sz w:val="21"/>
        </w:rPr>
      </w:pPr>
      <w:r>
        <w:rPr>
          <w:rFonts w:hint="eastAsia"/>
        </w:rPr>
        <w:t>別表第１（第３条、第４条関係）</w:t>
      </w:r>
    </w:p>
    <w:p>
      <w:pPr>
        <w:pStyle w:val="0"/>
        <w:rPr>
          <w:rFonts w:hint="default"/>
          <w:sz w:val="22"/>
        </w:rPr>
      </w:pPr>
    </w:p>
    <w:tbl>
      <w:tblPr>
        <w:tblStyle w:val="24"/>
        <w:tblpPr w:leftFromText="142" w:rightFromText="142" w:topFromText="0" w:bottomFromText="0" w:vertAnchor="page" w:horzAnchor="margin" w:tblpX="562" w:tblpY="1876"/>
        <w:tblW w:w="15145" w:type="dxa"/>
        <w:tblLayout w:type="fixed"/>
        <w:tblLook w:firstRow="1" w:lastRow="0" w:firstColumn="1" w:lastColumn="0" w:noHBand="0" w:noVBand="1" w:val="04A0"/>
      </w:tblPr>
      <w:tblGrid>
        <w:gridCol w:w="1359"/>
        <w:gridCol w:w="3480"/>
        <w:gridCol w:w="5040"/>
        <w:gridCol w:w="5266"/>
      </w:tblGrid>
      <w:tr>
        <w:trPr/>
        <w:tc>
          <w:tcPr>
            <w:tcW w:w="1359" w:type="dxa"/>
            <w:vAlign w:val="center"/>
          </w:tcPr>
          <w:p>
            <w:pPr>
              <w:pStyle w:val="0"/>
              <w:jc w:val="center"/>
              <w:rPr>
                <w:rFonts w:hint="default"/>
                <w:sz w:val="22"/>
              </w:rPr>
            </w:pPr>
            <w:r>
              <w:rPr>
                <w:rFonts w:hint="eastAsia"/>
                <w:sz w:val="22"/>
              </w:rPr>
              <w:t>交付対象者</w:t>
            </w:r>
          </w:p>
        </w:tc>
        <w:tc>
          <w:tcPr>
            <w:tcW w:w="3480" w:type="dxa"/>
            <w:vAlign w:val="center"/>
          </w:tcPr>
          <w:p>
            <w:pPr>
              <w:pStyle w:val="0"/>
              <w:rPr>
                <w:rFonts w:hint="eastAsia"/>
                <w:sz w:val="22"/>
              </w:rPr>
            </w:pPr>
            <w:r>
              <w:rPr>
                <w:rFonts w:hint="eastAsia"/>
                <w:sz w:val="22"/>
              </w:rPr>
              <w:t>交付要件</w:t>
            </w:r>
          </w:p>
        </w:tc>
        <w:tc>
          <w:tcPr>
            <w:tcW w:w="5040" w:type="dxa"/>
            <w:vAlign w:val="center"/>
          </w:tcPr>
          <w:p>
            <w:pPr>
              <w:pStyle w:val="0"/>
              <w:jc w:val="center"/>
              <w:rPr>
                <w:rFonts w:hint="default"/>
                <w:sz w:val="22"/>
              </w:rPr>
            </w:pPr>
            <w:r>
              <w:rPr>
                <w:rFonts w:hint="eastAsia"/>
                <w:sz w:val="22"/>
              </w:rPr>
              <w:t>交付額</w:t>
            </w:r>
          </w:p>
        </w:tc>
        <w:tc>
          <w:tcPr>
            <w:tcW w:w="5266" w:type="dxa"/>
            <w:vAlign w:val="center"/>
          </w:tcPr>
          <w:p>
            <w:pPr>
              <w:pStyle w:val="0"/>
              <w:jc w:val="center"/>
              <w:rPr>
                <w:rFonts w:hint="default"/>
                <w:sz w:val="22"/>
              </w:rPr>
            </w:pPr>
            <w:r>
              <w:rPr>
                <w:rFonts w:hint="eastAsia"/>
                <w:sz w:val="22"/>
              </w:rPr>
              <w:t>提出書類</w:t>
            </w:r>
          </w:p>
        </w:tc>
      </w:tr>
      <w:tr>
        <w:trPr>
          <w:trHeight w:val="331" w:hRule="atLeast"/>
        </w:trPr>
        <w:tc>
          <w:tcPr>
            <w:tcW w:w="1359" w:type="dxa"/>
            <w:vMerge w:val="restart"/>
            <w:vAlign w:val="top"/>
          </w:tcPr>
          <w:p>
            <w:pPr>
              <w:pStyle w:val="0"/>
              <w:rPr>
                <w:rFonts w:hint="default"/>
                <w:sz w:val="22"/>
              </w:rPr>
            </w:pPr>
            <w:r>
              <w:rPr>
                <w:rFonts w:hint="eastAsia"/>
                <w:sz w:val="22"/>
              </w:rPr>
              <w:t>介護保険サービス事業所に新たにヘルパーとして就業した者</w:t>
            </w:r>
          </w:p>
        </w:tc>
        <w:tc>
          <w:tcPr>
            <w:tcW w:w="3480" w:type="dxa"/>
            <w:vAlign w:val="top"/>
          </w:tcPr>
          <w:p>
            <w:pPr>
              <w:pStyle w:val="0"/>
              <w:rPr>
                <w:rFonts w:hint="eastAsia"/>
                <w:sz w:val="22"/>
              </w:rPr>
            </w:pPr>
            <w:r>
              <w:rPr>
                <w:rFonts w:hint="eastAsia"/>
                <w:sz w:val="22"/>
              </w:rPr>
              <w:t>以下の要件を全て満たす者であること。ただし、同一系列法人内の異動又は他の介護保険サービス事業所からの転職者でない者に限る。</w:t>
            </w:r>
          </w:p>
        </w:tc>
        <w:tc>
          <w:tcPr>
            <w:tcW w:w="5040" w:type="dxa"/>
            <w:vMerge w:val="restart"/>
            <w:vAlign w:val="top"/>
          </w:tcPr>
          <w:p>
            <w:pPr>
              <w:pStyle w:val="0"/>
              <w:rPr>
                <w:rFonts w:hint="default"/>
                <w:sz w:val="22"/>
              </w:rPr>
            </w:pPr>
            <w:r>
              <w:rPr>
                <w:rFonts w:hint="eastAsia"/>
                <w:sz w:val="22"/>
              </w:rPr>
              <w:t>就業奨励金として次のいずれかを支給する。なお、交付の回数は、同一の交付対象者につき１回を限度とする。</w:t>
            </w:r>
          </w:p>
          <w:p>
            <w:pPr>
              <w:pStyle w:val="0"/>
              <w:ind w:leftChars="0" w:firstLine="0" w:firstLineChars="0"/>
              <w:rPr>
                <w:rFonts w:hint="default"/>
                <w:sz w:val="22"/>
              </w:rPr>
            </w:pPr>
            <w:r>
              <w:rPr>
                <w:rFonts w:hint="eastAsia"/>
                <w:sz w:val="22"/>
              </w:rPr>
              <w:t>(</w:t>
            </w:r>
            <w:r>
              <w:rPr>
                <w:rFonts w:hint="default"/>
                <w:sz w:val="22"/>
              </w:rPr>
              <w:t xml:space="preserve">1) </w:t>
            </w:r>
            <w:r>
              <w:rPr>
                <w:rFonts w:hint="eastAsia"/>
                <w:sz w:val="22"/>
              </w:rPr>
              <w:t>正規雇用職員　１００，０００円</w:t>
            </w:r>
          </w:p>
          <w:p>
            <w:pPr>
              <w:pStyle w:val="0"/>
              <w:ind w:firstLineChars="0"/>
              <w:rPr>
                <w:rFonts w:hint="default"/>
                <w:sz w:val="22"/>
              </w:rPr>
            </w:pPr>
            <w:r>
              <w:rPr>
                <w:rFonts w:hint="eastAsia"/>
                <w:sz w:val="22"/>
              </w:rPr>
              <w:t>(</w:t>
            </w:r>
            <w:r>
              <w:rPr>
                <w:rFonts w:hint="default"/>
                <w:sz w:val="22"/>
              </w:rPr>
              <w:t xml:space="preserve">2) </w:t>
            </w:r>
            <w:r>
              <w:rPr>
                <w:rFonts w:hint="eastAsia"/>
                <w:sz w:val="22"/>
              </w:rPr>
              <w:t>契約職員又はパートタイム　５０，０００円</w:t>
            </w:r>
          </w:p>
        </w:tc>
        <w:tc>
          <w:tcPr>
            <w:tcW w:w="5266" w:type="dxa"/>
            <w:vMerge w:val="restart"/>
            <w:vAlign w:val="top"/>
          </w:tcPr>
          <w:p>
            <w:pPr>
              <w:pStyle w:val="0"/>
              <w:ind w:left="240" w:hanging="240" w:hangingChars="100"/>
              <w:rPr>
                <w:rFonts w:hint="default"/>
                <w:sz w:val="22"/>
              </w:rPr>
            </w:pPr>
            <w:r>
              <w:rPr>
                <w:rFonts w:hint="eastAsia"/>
                <w:sz w:val="22"/>
              </w:rPr>
              <w:t>次のとおりとする。</w:t>
            </w:r>
          </w:p>
          <w:p>
            <w:pPr>
              <w:pStyle w:val="0"/>
              <w:ind w:left="240" w:hanging="240" w:hangingChars="100"/>
              <w:rPr>
                <w:rFonts w:hint="default"/>
                <w:sz w:val="22"/>
              </w:rPr>
            </w:pPr>
            <w:r>
              <w:rPr>
                <w:rFonts w:hint="eastAsia"/>
                <w:sz w:val="22"/>
              </w:rPr>
              <w:t>(1)</w:t>
            </w:r>
            <w:r>
              <w:rPr>
                <w:rFonts w:hint="default"/>
                <w:sz w:val="22"/>
              </w:rPr>
              <w:t xml:space="preserve"> </w:t>
            </w:r>
            <w:r>
              <w:rPr>
                <w:rFonts w:hint="eastAsia"/>
                <w:sz w:val="22"/>
              </w:rPr>
              <w:t>事業者が発行する就業証明書（第２号様式）</w:t>
            </w:r>
          </w:p>
          <w:p>
            <w:pPr>
              <w:pStyle w:val="0"/>
              <w:rPr>
                <w:rFonts w:hint="default"/>
                <w:sz w:val="22"/>
              </w:rPr>
            </w:pPr>
            <w:r>
              <w:rPr>
                <w:rFonts w:hint="eastAsia"/>
                <w:sz w:val="22"/>
              </w:rPr>
              <w:t>(2)</w:t>
            </w:r>
            <w:r>
              <w:rPr>
                <w:rFonts w:hint="default"/>
                <w:sz w:val="22"/>
              </w:rPr>
              <w:t xml:space="preserve"> </w:t>
            </w:r>
            <w:r>
              <w:rPr>
                <w:rFonts w:hint="eastAsia"/>
                <w:sz w:val="22"/>
              </w:rPr>
              <w:t>宿毛市税の完納証明書</w:t>
            </w:r>
          </w:p>
          <w:p>
            <w:pPr>
              <w:pStyle w:val="0"/>
              <w:rPr>
                <w:rFonts w:hint="default"/>
                <w:sz w:val="22"/>
              </w:rPr>
            </w:pPr>
            <w:r>
              <w:rPr>
                <w:rFonts w:hint="eastAsia"/>
                <w:sz w:val="22"/>
              </w:rPr>
              <w:t>(3)</w:t>
            </w:r>
            <w:r>
              <w:rPr>
                <w:rFonts w:hint="default"/>
                <w:sz w:val="22"/>
              </w:rPr>
              <w:t xml:space="preserve"> </w:t>
            </w:r>
            <w:r>
              <w:rPr>
                <w:rFonts w:hint="eastAsia"/>
                <w:sz w:val="22"/>
              </w:rPr>
              <w:t>本人確認書類（個人番号カード、運転免許証等）</w:t>
            </w:r>
          </w:p>
          <w:p>
            <w:pPr>
              <w:pStyle w:val="0"/>
              <w:ind w:left="240" w:hanging="240" w:hangingChars="100"/>
              <w:rPr>
                <w:rFonts w:hint="default"/>
                <w:sz w:val="22"/>
              </w:rPr>
            </w:pPr>
            <w:r>
              <w:rPr>
                <w:rFonts w:hint="eastAsia"/>
                <w:sz w:val="22"/>
              </w:rPr>
              <w:t>(4)</w:t>
            </w:r>
            <w:r>
              <w:rPr>
                <w:rFonts w:hint="default"/>
                <w:sz w:val="22"/>
              </w:rPr>
              <w:t xml:space="preserve"> </w:t>
            </w:r>
            <w:r>
              <w:rPr>
                <w:rFonts w:hint="eastAsia"/>
                <w:sz w:val="22"/>
              </w:rPr>
              <w:t>宿毛市事業等からの暴力団の排除に関する規則第４条各号のいずれにも該当する者ではないことの誓約書及び照会承諾書</w:t>
            </w:r>
          </w:p>
          <w:p>
            <w:pPr>
              <w:pStyle w:val="0"/>
              <w:ind w:left="240" w:hanging="240" w:hangingChars="100"/>
              <w:rPr>
                <w:rFonts w:hint="default"/>
                <w:sz w:val="22"/>
              </w:rPr>
            </w:pPr>
            <w:r>
              <w:rPr>
                <w:rFonts w:hint="eastAsia"/>
                <w:sz w:val="22"/>
              </w:rPr>
              <w:t>(</w:t>
            </w:r>
            <w:r>
              <w:rPr>
                <w:rFonts w:hint="default"/>
                <w:sz w:val="22"/>
              </w:rPr>
              <w:t>5</w:t>
            </w:r>
            <w:r>
              <w:rPr>
                <w:rFonts w:hint="eastAsia"/>
                <w:sz w:val="22"/>
              </w:rPr>
              <w:t>)</w:t>
            </w:r>
            <w:r>
              <w:rPr>
                <w:rFonts w:hint="default"/>
                <w:sz w:val="22"/>
              </w:rPr>
              <w:t xml:space="preserve"> </w:t>
            </w:r>
            <w:r>
              <w:rPr>
                <w:rFonts w:hint="eastAsia"/>
                <w:sz w:val="22"/>
              </w:rPr>
              <w:t>その他市長が必要と認める書類</w:t>
            </w:r>
          </w:p>
        </w:tc>
      </w:tr>
      <w:tr>
        <w:trPr>
          <w:trHeight w:val="331" w:hRule="atLeast"/>
        </w:trPr>
        <w:tc>
          <w:tcPr>
            <w:tcW w:w="1359" w:type="dxa"/>
            <w:vMerge w:val="continue"/>
            <w:vAlign w:val="top"/>
          </w:tcPr>
          <w:p>
            <w:pPr>
              <w:pStyle w:val="0"/>
              <w:rPr>
                <w:rFonts w:hint="default"/>
              </w:rPr>
            </w:pPr>
          </w:p>
        </w:tc>
        <w:tc>
          <w:tcPr>
            <w:tcW w:w="3480" w:type="dxa"/>
            <w:vAlign w:val="top"/>
          </w:tcPr>
          <w:p>
            <w:pPr>
              <w:pStyle w:val="0"/>
              <w:ind w:left="220" w:hanging="220" w:hangingChars="100"/>
              <w:rPr>
                <w:rFonts w:hint="eastAsia"/>
                <w:sz w:val="22"/>
              </w:rPr>
            </w:pPr>
            <w:r>
              <w:rPr>
                <w:rFonts w:hint="eastAsia"/>
                <w:sz w:val="22"/>
              </w:rPr>
              <w:t xml:space="preserve">(1) </w:t>
            </w:r>
            <w:r>
              <w:rPr>
                <w:rFonts w:hint="eastAsia"/>
                <w:sz w:val="22"/>
              </w:rPr>
              <w:t>令和５年４月１日から同年１２月１５日までに、宿毛市内のいずれかの介護保険サービス事業所等に新たにヘルパーとして就業し、９０日が経過した者。ただし、人材派遣又は紹介会社を通じて就業した者は対象外とする。</w:t>
            </w:r>
          </w:p>
        </w:tc>
        <w:tc>
          <w:tcPr>
            <w:tcW w:w="5040" w:type="dxa"/>
            <w:vMerge w:val="continue"/>
            <w:vAlign w:val="top"/>
          </w:tcPr>
          <w:p>
            <w:pPr>
              <w:pStyle w:val="0"/>
              <w:rPr>
                <w:rFonts w:hint="default"/>
              </w:rPr>
            </w:pPr>
          </w:p>
        </w:tc>
        <w:tc>
          <w:tcPr>
            <w:tcW w:w="5266" w:type="dxa"/>
            <w:vMerge w:val="continue"/>
            <w:vAlign w:val="top"/>
          </w:tcPr>
          <w:p>
            <w:pPr>
              <w:pStyle w:val="0"/>
              <w:rPr>
                <w:rFonts w:hint="default"/>
              </w:rPr>
            </w:pPr>
          </w:p>
        </w:tc>
      </w:tr>
      <w:tr>
        <w:trPr>
          <w:trHeight w:val="486" w:hRule="atLeast"/>
        </w:trPr>
        <w:tc>
          <w:tcPr>
            <w:tcW w:w="1359" w:type="dxa"/>
            <w:vMerge w:val="continue"/>
            <w:vAlign w:val="top"/>
          </w:tcPr>
          <w:p>
            <w:pPr>
              <w:pStyle w:val="0"/>
              <w:rPr>
                <w:rFonts w:hint="default"/>
              </w:rPr>
            </w:pPr>
          </w:p>
        </w:tc>
        <w:tc>
          <w:tcPr>
            <w:tcW w:w="3480" w:type="dxa"/>
            <w:vAlign w:val="top"/>
          </w:tcPr>
          <w:p>
            <w:pPr>
              <w:pStyle w:val="0"/>
              <w:rPr>
                <w:rFonts w:hint="eastAsia"/>
                <w:sz w:val="22"/>
              </w:rPr>
            </w:pPr>
            <w:r>
              <w:rPr>
                <w:rFonts w:hint="eastAsia"/>
                <w:sz w:val="22"/>
              </w:rPr>
              <w:t xml:space="preserve">(2) </w:t>
            </w:r>
            <w:r>
              <w:rPr>
                <w:rFonts w:hint="eastAsia"/>
                <w:sz w:val="22"/>
              </w:rPr>
              <w:t>宿毛市税の滞納が無いこと。</w:t>
            </w:r>
          </w:p>
        </w:tc>
        <w:tc>
          <w:tcPr>
            <w:tcW w:w="5040" w:type="dxa"/>
            <w:vMerge w:val="continue"/>
            <w:vAlign w:val="top"/>
          </w:tcPr>
          <w:p>
            <w:pPr>
              <w:pStyle w:val="0"/>
              <w:rPr>
                <w:rFonts w:hint="default"/>
              </w:rPr>
            </w:pPr>
          </w:p>
        </w:tc>
        <w:tc>
          <w:tcPr>
            <w:tcW w:w="5266" w:type="dxa"/>
            <w:vMerge w:val="continue"/>
            <w:vAlign w:val="top"/>
          </w:tcPr>
          <w:p>
            <w:pPr>
              <w:pStyle w:val="0"/>
              <w:rPr>
                <w:rFonts w:hint="default"/>
              </w:rPr>
            </w:pPr>
          </w:p>
        </w:tc>
      </w:tr>
      <w:tr>
        <w:trPr>
          <w:trHeight w:val="331" w:hRule="atLeast"/>
        </w:trPr>
        <w:tc>
          <w:tcPr>
            <w:tcW w:w="1359" w:type="dxa"/>
            <w:vMerge w:val="continue"/>
            <w:vAlign w:val="top"/>
          </w:tcPr>
          <w:p>
            <w:pPr>
              <w:pStyle w:val="0"/>
              <w:rPr>
                <w:rFonts w:hint="default"/>
              </w:rPr>
            </w:pPr>
          </w:p>
        </w:tc>
        <w:tc>
          <w:tcPr>
            <w:tcW w:w="3480" w:type="dxa"/>
            <w:vAlign w:val="top"/>
          </w:tcPr>
          <w:p>
            <w:pPr>
              <w:pStyle w:val="0"/>
              <w:ind w:left="220" w:hanging="220" w:hangingChars="100"/>
              <w:rPr>
                <w:rFonts w:hint="eastAsia"/>
                <w:sz w:val="22"/>
              </w:rPr>
            </w:pPr>
            <w:r>
              <w:rPr>
                <w:rFonts w:hint="eastAsia"/>
                <w:sz w:val="22"/>
              </w:rPr>
              <w:t xml:space="preserve">(3) </w:t>
            </w:r>
            <w:r>
              <w:rPr>
                <w:rFonts w:hint="eastAsia"/>
                <w:sz w:val="22"/>
              </w:rPr>
              <w:t>令和５年度宿毛市中山間地域介護サービス確保対策事業費補助金の交付対象者でないこと。</w:t>
            </w:r>
          </w:p>
        </w:tc>
        <w:tc>
          <w:tcPr>
            <w:tcW w:w="5040" w:type="dxa"/>
            <w:vMerge w:val="continue"/>
            <w:vAlign w:val="top"/>
          </w:tcPr>
          <w:p>
            <w:pPr>
              <w:pStyle w:val="0"/>
              <w:rPr>
                <w:rFonts w:hint="default"/>
              </w:rPr>
            </w:pPr>
          </w:p>
        </w:tc>
        <w:tc>
          <w:tcPr>
            <w:tcW w:w="5266" w:type="dxa"/>
            <w:vMerge w:val="continue"/>
            <w:vAlign w:val="top"/>
          </w:tcPr>
          <w:p>
            <w:pPr>
              <w:pStyle w:val="0"/>
              <w:rPr>
                <w:rFonts w:hint="default"/>
              </w:rPr>
            </w:pPr>
          </w:p>
        </w:tc>
      </w:tr>
    </w:tbl>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rPr>
      </w:pPr>
    </w:p>
    <w:p>
      <w:pPr>
        <w:rPr>
          <w:rFonts w:hint="default"/>
        </w:rPr>
        <w:sectPr>
          <w:pgSz w:w="16840" w:h="11907" w:orient="landscape"/>
          <w:pgMar w:top="737" w:right="567" w:bottom="567" w:left="567" w:header="851" w:footer="992" w:gutter="0"/>
          <w:cols w:space="720"/>
          <w:textDirection w:val="lrTb"/>
          <w:docGrid w:type="linesAndChars" w:linePitch="331"/>
        </w:sectPr>
      </w:pPr>
    </w:p>
    <w:p>
      <w:pPr>
        <w:pStyle w:val="0"/>
        <w:jc w:val="left"/>
        <w:rPr>
          <w:rFonts w:hint="default"/>
        </w:rPr>
      </w:pPr>
      <w:r>
        <w:rPr>
          <w:rFonts w:hint="eastAsia"/>
        </w:rPr>
        <w:t>別表第２（第６条関係）</w:t>
      </w:r>
    </w:p>
    <w:p>
      <w:pPr>
        <w:pStyle w:val="0"/>
        <w:jc w:val="left"/>
        <w:rPr>
          <w:rFonts w:hint="default"/>
        </w:rPr>
      </w:pPr>
    </w:p>
    <w:p>
      <w:pPr>
        <w:pStyle w:val="0"/>
        <w:ind w:left="240" w:hanging="240" w:hangingChars="100"/>
        <w:jc w:val="left"/>
        <w:rPr>
          <w:rFonts w:hint="default"/>
        </w:rPr>
      </w:pPr>
      <w:r>
        <w:rPr>
          <w:rFonts w:hint="eastAsia"/>
        </w:rPr>
        <w:t>１</w:t>
      </w:r>
      <w:r>
        <w:rPr>
          <w:rFonts w:hint="default" w:ascii="ＭＳ 明朝" w:hAnsi="ＭＳ 明朝"/>
        </w:rPr>
        <w:t>　</w:t>
      </w:r>
      <w:r>
        <w:rPr>
          <w:rFonts w:hint="default" w:ascii="ＭＳ 明朝" w:hAnsi="ＭＳ 明朝"/>
          <w:spacing w:val="3"/>
          <w:kern w:val="0"/>
          <w:fitText w:val="8400" w:id="2"/>
        </w:rPr>
        <w:t>暴力団</w:t>
      </w:r>
      <w:r>
        <w:rPr>
          <w:rFonts w:hint="default"/>
          <w:spacing w:val="3"/>
          <w:kern w:val="0"/>
          <w:fitText w:val="8400" w:id="2"/>
        </w:rPr>
        <w:t>(</w:t>
      </w:r>
      <w:r>
        <w:rPr>
          <w:rFonts w:hint="default" w:ascii="ＭＳ 明朝" w:hAnsi="ＭＳ 明朝"/>
          <w:spacing w:val="3"/>
          <w:kern w:val="0"/>
          <w:fitText w:val="8400" w:id="2"/>
        </w:rPr>
        <w:t>宿毛市暴力団排除条例</w:t>
      </w:r>
      <w:r>
        <w:rPr>
          <w:rFonts w:hint="default"/>
          <w:spacing w:val="3"/>
          <w:kern w:val="0"/>
          <w:fitText w:val="8400" w:id="2"/>
        </w:rPr>
        <w:t>(</w:t>
      </w:r>
      <w:r>
        <w:rPr>
          <w:rFonts w:hint="default" w:ascii="ＭＳ 明朝" w:hAnsi="ＭＳ 明朝"/>
          <w:spacing w:val="3"/>
          <w:kern w:val="0"/>
          <w:fitText w:val="8400" w:id="2"/>
        </w:rPr>
        <w:t>平成</w:t>
      </w:r>
      <w:r>
        <w:rPr>
          <w:rFonts w:hint="eastAsia"/>
          <w:spacing w:val="3"/>
          <w:kern w:val="0"/>
          <w:fitText w:val="8400" w:id="2"/>
        </w:rPr>
        <w:t>２３</w:t>
      </w:r>
      <w:r>
        <w:rPr>
          <w:rFonts w:hint="default" w:ascii="ＭＳ 明朝" w:hAnsi="ＭＳ 明朝"/>
          <w:spacing w:val="3"/>
          <w:kern w:val="0"/>
          <w:fitText w:val="8400" w:id="2"/>
        </w:rPr>
        <w:t>年宿毛市条例第</w:t>
      </w:r>
      <w:r>
        <w:rPr>
          <w:rFonts w:hint="eastAsia"/>
          <w:spacing w:val="3"/>
          <w:kern w:val="0"/>
          <w:fitText w:val="8400" w:id="2"/>
        </w:rPr>
        <w:t>３</w:t>
      </w:r>
      <w:r>
        <w:rPr>
          <w:rFonts w:hint="default" w:ascii="ＭＳ 明朝" w:hAnsi="ＭＳ 明朝"/>
          <w:spacing w:val="3"/>
          <w:kern w:val="0"/>
          <w:fitText w:val="8400" w:id="2"/>
        </w:rPr>
        <w:t>号。以下「暴排</w:t>
      </w:r>
      <w:r>
        <w:rPr>
          <w:rFonts w:hint="default" w:ascii="ＭＳ 明朝" w:hAnsi="ＭＳ 明朝"/>
          <w:spacing w:val="21"/>
          <w:kern w:val="0"/>
          <w:fitText w:val="8400" w:id="2"/>
        </w:rPr>
        <w:t>条</w:t>
      </w:r>
      <w:r>
        <w:rPr>
          <w:rFonts w:hint="default" w:ascii="ＭＳ 明朝" w:hAnsi="ＭＳ 明朝"/>
        </w:rPr>
        <w:t>例」という。</w:t>
      </w:r>
      <w:r>
        <w:rPr>
          <w:rFonts w:hint="default"/>
        </w:rPr>
        <w:t>)</w:t>
      </w:r>
      <w:r>
        <w:rPr>
          <w:rFonts w:hint="default" w:ascii="ＭＳ 明朝" w:hAnsi="ＭＳ 明朝"/>
        </w:rPr>
        <w:t>第</w:t>
      </w:r>
      <w:r>
        <w:rPr>
          <w:rFonts w:hint="eastAsia"/>
        </w:rPr>
        <w:t>２</w:t>
      </w:r>
      <w:r>
        <w:rPr>
          <w:rFonts w:hint="default" w:ascii="ＭＳ 明朝" w:hAnsi="ＭＳ 明朝"/>
        </w:rPr>
        <w:t>条第</w:t>
      </w:r>
      <w:r>
        <w:rPr>
          <w:rFonts w:hint="eastAsia"/>
        </w:rPr>
        <w:t>１</w:t>
      </w:r>
      <w:r>
        <w:rPr>
          <w:rFonts w:hint="default" w:ascii="ＭＳ 明朝" w:hAnsi="ＭＳ 明朝"/>
        </w:rPr>
        <w:t>号に規定する暴力団をいう。以下同じ。</w:t>
      </w:r>
      <w:r>
        <w:rPr>
          <w:rFonts w:hint="default"/>
        </w:rPr>
        <w:t>)</w:t>
      </w:r>
      <w:r>
        <w:rPr>
          <w:rFonts w:hint="default" w:ascii="ＭＳ 明朝" w:hAnsi="ＭＳ 明朝"/>
        </w:rPr>
        <w:t>又は暴力団員</w:t>
      </w:r>
      <w:r>
        <w:rPr>
          <w:rFonts w:hint="default" w:ascii="ＭＳ 明朝" w:hAnsi="ＭＳ 明朝"/>
          <w:spacing w:val="3"/>
          <w:kern w:val="0"/>
          <w:fitText w:val="8640" w:id="3"/>
        </w:rPr>
        <w:t>等</w:t>
      </w:r>
      <w:r>
        <w:rPr>
          <w:rFonts w:hint="default"/>
          <w:spacing w:val="3"/>
          <w:kern w:val="0"/>
          <w:fitText w:val="8640" w:id="3"/>
        </w:rPr>
        <w:t>(</w:t>
      </w:r>
      <w:r>
        <w:rPr>
          <w:rFonts w:hint="default" w:ascii="ＭＳ 明朝" w:hAnsi="ＭＳ 明朝"/>
          <w:spacing w:val="3"/>
          <w:kern w:val="0"/>
          <w:fitText w:val="8640" w:id="3"/>
        </w:rPr>
        <w:t>暴排条例第</w:t>
      </w:r>
      <w:r>
        <w:rPr>
          <w:rFonts w:hint="eastAsia"/>
          <w:spacing w:val="3"/>
          <w:kern w:val="0"/>
          <w:fitText w:val="8640" w:id="3"/>
        </w:rPr>
        <w:t>２</w:t>
      </w:r>
      <w:r>
        <w:rPr>
          <w:rFonts w:hint="default" w:ascii="ＭＳ 明朝" w:hAnsi="ＭＳ 明朝"/>
          <w:spacing w:val="3"/>
          <w:kern w:val="0"/>
          <w:fitText w:val="8640" w:id="3"/>
        </w:rPr>
        <w:t>条第</w:t>
      </w:r>
      <w:r>
        <w:rPr>
          <w:rFonts w:hint="eastAsia"/>
          <w:spacing w:val="3"/>
          <w:kern w:val="0"/>
          <w:fitText w:val="8640" w:id="3"/>
        </w:rPr>
        <w:t>３</w:t>
      </w:r>
      <w:r>
        <w:rPr>
          <w:rFonts w:hint="default" w:ascii="ＭＳ 明朝" w:hAnsi="ＭＳ 明朝"/>
          <w:spacing w:val="3"/>
          <w:kern w:val="0"/>
          <w:fitText w:val="8640" w:id="3"/>
        </w:rPr>
        <w:t>号に規定する暴力団員</w:t>
      </w:r>
      <w:r>
        <w:rPr>
          <w:rFonts w:hint="eastAsia"/>
          <w:spacing w:val="3"/>
          <w:kern w:val="0"/>
          <w:fitText w:val="8640" w:id="3"/>
        </w:rPr>
        <w:t>等</w:t>
      </w:r>
      <w:r>
        <w:rPr>
          <w:rFonts w:hint="default" w:ascii="ＭＳ 明朝" w:hAnsi="ＭＳ 明朝"/>
          <w:spacing w:val="3"/>
          <w:kern w:val="0"/>
          <w:fitText w:val="8640" w:id="3"/>
        </w:rPr>
        <w:t>をいう。以下同じ。</w:t>
      </w:r>
      <w:r>
        <w:rPr>
          <w:rFonts w:hint="default"/>
          <w:spacing w:val="3"/>
          <w:kern w:val="0"/>
          <w:fitText w:val="8640" w:id="3"/>
        </w:rPr>
        <w:t>)</w:t>
      </w:r>
      <w:r>
        <w:rPr>
          <w:rFonts w:hint="default" w:ascii="ＭＳ 明朝" w:hAnsi="ＭＳ 明朝"/>
          <w:spacing w:val="3"/>
          <w:kern w:val="0"/>
          <w:fitText w:val="8640" w:id="3"/>
        </w:rPr>
        <w:t>である</w:t>
      </w:r>
      <w:r>
        <w:rPr>
          <w:rFonts w:hint="default" w:ascii="ＭＳ 明朝" w:hAnsi="ＭＳ 明朝"/>
          <w:spacing w:val="18"/>
          <w:kern w:val="0"/>
          <w:fitText w:val="8640" w:id="3"/>
        </w:rPr>
        <w:t>と</w:t>
      </w:r>
      <w:r>
        <w:rPr>
          <w:rFonts w:hint="default" w:ascii="ＭＳ 明朝" w:hAnsi="ＭＳ 明朝"/>
          <w:kern w:val="0"/>
        </w:rPr>
        <w:t>き。</w:t>
      </w:r>
    </w:p>
    <w:p>
      <w:pPr>
        <w:pStyle w:val="0"/>
        <w:ind w:left="240" w:hanging="240" w:hangingChars="100"/>
        <w:jc w:val="left"/>
        <w:rPr>
          <w:rFonts w:hint="default"/>
        </w:rPr>
      </w:pPr>
      <w:r>
        <w:rPr>
          <w:rFonts w:hint="eastAsia"/>
        </w:rPr>
        <w:t>２</w:t>
      </w:r>
      <w:r>
        <w:rPr>
          <w:rFonts w:hint="default" w:ascii="ＭＳ 明朝" w:hAnsi="ＭＳ 明朝"/>
        </w:rPr>
        <w:t>　暴排条例第</w:t>
      </w:r>
      <w:r>
        <w:rPr>
          <w:rFonts w:hint="eastAsia"/>
        </w:rPr>
        <w:t>１１</w:t>
      </w:r>
      <w:r>
        <w:rPr>
          <w:rFonts w:hint="default" w:ascii="ＭＳ 明朝" w:hAnsi="ＭＳ 明朝"/>
        </w:rPr>
        <w:t>条の規定に違反した事実があるとき。</w:t>
      </w:r>
    </w:p>
    <w:p>
      <w:pPr>
        <w:pStyle w:val="0"/>
        <w:ind w:left="240" w:hanging="240" w:hangingChars="100"/>
        <w:jc w:val="left"/>
        <w:rPr>
          <w:rFonts w:hint="default"/>
        </w:rPr>
      </w:pPr>
      <w:r>
        <w:rPr>
          <w:rFonts w:hint="eastAsia"/>
        </w:rPr>
        <w:t>３</w:t>
      </w:r>
      <w:r>
        <w:rPr>
          <w:rFonts w:hint="default" w:ascii="ＭＳ 明朝" w:hAnsi="ＭＳ 明朝"/>
        </w:rPr>
        <w:t>　その役員</w:t>
      </w:r>
      <w:r>
        <w:rPr>
          <w:rFonts w:hint="default"/>
        </w:rPr>
        <w:t>(</w:t>
      </w:r>
      <w:r>
        <w:rPr>
          <w:rFonts w:hint="default" w:ascii="ＭＳ 明朝" w:hAnsi="ＭＳ 明朝"/>
        </w:rPr>
        <w:t>業務を執行する社員、取締役、執行役又はこれらに準ずる者をいい、相談役、顧問その他いかなる名称を有する者であるかを問わず、法人に対し業務を執行する役員、取締役、執行役又はこれに準ずる者と同等以上の支配力を有するものと認められる者を含み、法人以外の団体にあっては、代表者、理事その他これらと同等の責任を有する者をいう。以下同じ。</w:t>
      </w:r>
      <w:r>
        <w:rPr>
          <w:rFonts w:hint="default"/>
        </w:rPr>
        <w:t>)</w:t>
      </w:r>
      <w:r>
        <w:rPr>
          <w:rFonts w:hint="default" w:ascii="ＭＳ 明朝" w:hAnsi="ＭＳ 明朝"/>
        </w:rPr>
        <w:t>が暴力団員等であるとき。</w:t>
      </w:r>
    </w:p>
    <w:p>
      <w:pPr>
        <w:pStyle w:val="0"/>
        <w:ind w:left="240" w:hanging="240" w:hangingChars="100"/>
        <w:jc w:val="left"/>
        <w:rPr>
          <w:rFonts w:hint="default"/>
        </w:rPr>
      </w:pPr>
      <w:r>
        <w:rPr>
          <w:rFonts w:hint="eastAsia"/>
        </w:rPr>
        <w:t>４</w:t>
      </w:r>
      <w:r>
        <w:rPr>
          <w:rFonts w:hint="default" w:ascii="ＭＳ 明朝" w:hAnsi="ＭＳ 明朝"/>
        </w:rPr>
        <w:t>　暴力団員等がその事業活動を支配しているとき。</w:t>
      </w:r>
    </w:p>
    <w:p>
      <w:pPr>
        <w:pStyle w:val="0"/>
        <w:ind w:left="240" w:hanging="240" w:hangingChars="100"/>
        <w:jc w:val="left"/>
        <w:rPr>
          <w:rFonts w:hint="default"/>
        </w:rPr>
      </w:pPr>
      <w:r>
        <w:rPr>
          <w:rFonts w:hint="eastAsia"/>
        </w:rPr>
        <w:t>５</w:t>
      </w:r>
      <w:r>
        <w:rPr>
          <w:rFonts w:hint="default" w:ascii="ＭＳ 明朝" w:hAnsi="ＭＳ 明朝"/>
        </w:rPr>
        <w:t>　暴力団員等をその業務に従事させ、又はその業務の交付者として使用しているとき。</w:t>
      </w:r>
    </w:p>
    <w:p>
      <w:pPr>
        <w:pStyle w:val="0"/>
        <w:ind w:left="240" w:hanging="240" w:hangingChars="100"/>
        <w:jc w:val="left"/>
        <w:rPr>
          <w:rFonts w:hint="default"/>
        </w:rPr>
      </w:pPr>
      <w:r>
        <w:rPr>
          <w:rFonts w:hint="eastAsia"/>
        </w:rPr>
        <w:t>６</w:t>
      </w:r>
      <w:r>
        <w:rPr>
          <w:rFonts w:hint="default" w:ascii="ＭＳ 明朝" w:hAnsi="ＭＳ 明朝"/>
        </w:rPr>
        <w:t>　暴力団又は暴力団員等がその経営又は運営に実質的に関与しているとき。</w:t>
      </w:r>
    </w:p>
    <w:p>
      <w:pPr>
        <w:pStyle w:val="0"/>
        <w:ind w:left="240" w:hanging="240" w:hangingChars="100"/>
        <w:jc w:val="left"/>
        <w:rPr>
          <w:rFonts w:hint="default"/>
        </w:rPr>
      </w:pPr>
      <w:r>
        <w:rPr>
          <w:rFonts w:hint="eastAsia"/>
        </w:rPr>
        <w:t>７</w:t>
      </w:r>
      <w:r>
        <w:rPr>
          <w:rFonts w:hint="default" w:ascii="ＭＳ 明朝" w:hAnsi="ＭＳ 明朝"/>
        </w:rPr>
        <w:t>　</w:t>
      </w:r>
      <w:r>
        <w:rPr>
          <w:rFonts w:hint="default" w:ascii="ＭＳ 明朝" w:hAnsi="ＭＳ 明朝"/>
          <w:spacing w:val="3"/>
          <w:kern w:val="0"/>
          <w:fitText w:val="8400" w:id="4"/>
        </w:rPr>
        <w:t>いかなる名義をもってするかを問わず、暴力団又は暴力団員等に対して、</w:t>
      </w:r>
      <w:r>
        <w:rPr>
          <w:rFonts w:hint="default" w:ascii="ＭＳ 明朝" w:hAnsi="ＭＳ 明朝"/>
          <w:spacing w:val="21"/>
          <w:kern w:val="0"/>
          <w:fitText w:val="8400" w:id="4"/>
        </w:rPr>
        <w:t>金</w:t>
      </w:r>
      <w:r>
        <w:rPr>
          <w:rFonts w:hint="default" w:ascii="ＭＳ 明朝" w:hAnsi="ＭＳ 明朝"/>
        </w:rPr>
        <w:t>銭、物品その他財政上の利益を与え、又は便宜を供与する等直接的又は積極的に暴力団の維持又は運営に協力し、又は関与したとき。</w:t>
      </w:r>
    </w:p>
    <w:p>
      <w:pPr>
        <w:pStyle w:val="0"/>
        <w:ind w:left="240" w:hanging="240" w:hangingChars="100"/>
        <w:jc w:val="left"/>
        <w:rPr>
          <w:rFonts w:hint="default"/>
        </w:rPr>
      </w:pPr>
      <w:r>
        <w:rPr>
          <w:rFonts w:hint="eastAsia"/>
        </w:rPr>
        <w:t>８</w:t>
      </w:r>
      <w:r>
        <w:rPr>
          <w:rFonts w:hint="default" w:ascii="ＭＳ 明朝" w:hAnsi="ＭＳ 明朝"/>
        </w:rPr>
        <w:t>　業務に関し、暴力団又は暴力団員等が経営又は運営に実質的に関与していると認められる者であることを知りながら、これを利用したとき。</w:t>
      </w:r>
    </w:p>
    <w:p>
      <w:pPr>
        <w:pStyle w:val="0"/>
        <w:ind w:left="240" w:hanging="240" w:hangingChars="100"/>
        <w:jc w:val="left"/>
        <w:rPr>
          <w:rFonts w:hint="default"/>
        </w:rPr>
      </w:pPr>
      <w:r>
        <w:rPr>
          <w:rFonts w:hint="eastAsia"/>
        </w:rPr>
        <w:t>９</w:t>
      </w:r>
      <w:r>
        <w:rPr>
          <w:rFonts w:hint="default" w:ascii="ＭＳ 明朝" w:hAnsi="ＭＳ 明朝"/>
        </w:rPr>
        <w:t>　</w:t>
      </w:r>
      <w:r>
        <w:rPr>
          <w:rFonts w:hint="default" w:ascii="ＭＳ 明朝" w:hAnsi="ＭＳ 明朝"/>
          <w:spacing w:val="3"/>
          <w:kern w:val="0"/>
          <w:fitText w:val="8400" w:id="5"/>
        </w:rPr>
        <w:t>その役員が、自己、その属する法人その他の団体若しくは第三者の利益を</w:t>
      </w:r>
      <w:r>
        <w:rPr>
          <w:rFonts w:hint="default" w:ascii="ＭＳ 明朝" w:hAnsi="ＭＳ 明朝"/>
          <w:spacing w:val="21"/>
          <w:kern w:val="0"/>
          <w:fitText w:val="8400" w:id="5"/>
        </w:rPr>
        <w:t>図</w:t>
      </w:r>
      <w:r>
        <w:rPr>
          <w:rFonts w:hint="default" w:ascii="ＭＳ 明朝" w:hAnsi="ＭＳ 明朝"/>
        </w:rPr>
        <w:t>り、又は第三者に損害を加えることを目的として、暴力団又は暴力団員等を利用したとき。</w:t>
      </w:r>
    </w:p>
    <w:p>
      <w:pPr>
        <w:pStyle w:val="0"/>
        <w:ind w:left="240" w:hanging="240" w:hangingChars="100"/>
        <w:jc w:val="left"/>
        <w:rPr>
          <w:rFonts w:hint="default" w:asciiTheme="minorEastAsia" w:hAnsiTheme="minorEastAsia"/>
          <w:color w:val="FF0000"/>
        </w:rPr>
      </w:pPr>
      <w:r>
        <w:rPr>
          <w:rFonts w:hint="eastAsia"/>
        </w:rPr>
        <w:t>１０</w:t>
      </w:r>
      <w:r>
        <w:rPr>
          <w:rFonts w:hint="default" w:ascii="ＭＳ 明朝" w:hAnsi="ＭＳ 明朝"/>
        </w:rPr>
        <w:t>　その役員が暴力団又は暴力団員と社会的に非難されるべき関係を有しているとき。</w:t>
      </w:r>
    </w:p>
    <w:sectPr>
      <w:pgSz w:w="11907" w:h="16840"/>
      <w:pgMar w:top="1134" w:right="1418" w:bottom="1701" w:left="1418" w:header="851" w:footer="992" w:gutter="0"/>
      <w:cols w:space="720"/>
      <w:textDirection w:val="lrTb"/>
      <w:docGrid w:type="linesAndChar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697</TotalTime>
  <Pages>4</Pages>
  <Words>15</Words>
  <Characters>2375</Characters>
  <Application>JUST Note</Application>
  <Lines>961</Lines>
  <Paragraphs>58</Paragraphs>
  <Company>HP Inc.</Company>
  <CharactersWithSpaces>2430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hoken</dc:creator>
  <cp:lastModifiedBy>cyoujyu</cp:lastModifiedBy>
  <cp:lastPrinted>2023-06-02T10:19:23Z</cp:lastPrinted>
  <dcterms:created xsi:type="dcterms:W3CDTF">2021-07-08T04:24:00Z</dcterms:created>
  <dcterms:modified xsi:type="dcterms:W3CDTF">2023-06-02T10:16:42Z</dcterms:modified>
  <cp:revision>86</cp:revision>
</cp:coreProperties>
</file>