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eastAsia" w:eastAsia="ＭＳ Ｐゴシック"/>
          <w:b w:val="1"/>
          <w:sz w:val="24"/>
        </w:rPr>
        <w:t>ロ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－①　別紙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事業が属する業種毎の最近１年間の売上高</w:t>
      </w:r>
      <w:r>
        <w:rPr>
          <w:rFonts w:hint="eastAsia" w:ascii="ＭＳ ゴシック" w:hAnsi="ＭＳ ゴシック" w:eastAsia="ＭＳ ゴシック"/>
        </w:rPr>
        <w:t>（注１）</w:t>
      </w:r>
    </w:p>
    <w:tbl>
      <w:tblPr>
        <w:tblStyle w:val="11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56"/>
        <w:gridCol w:w="3256"/>
        <w:gridCol w:w="3256"/>
      </w:tblGrid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　種（注２）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最近の売上高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構成比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全体の売上高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widowControl w:val="1"/>
        <w:ind w:left="613" w:hanging="613" w:hangingChars="292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</w:rPr>
        <w:t>注１　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注２　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1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つの欄に指定業種の売上高を合算して記載することもできるが、業種名等は併記すること。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企業全体に係る原油等の仕入単価の上昇</w:t>
      </w:r>
    </w:p>
    <w:tbl>
      <w:tblPr>
        <w:tblStyle w:val="1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97"/>
        <w:gridCol w:w="2463"/>
        <w:gridCol w:w="2463"/>
        <w:gridCol w:w="2463"/>
      </w:tblGrid>
      <w:tr>
        <w:trPr/>
        <w:tc>
          <w:tcPr>
            <w:tcW w:w="2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原油等の最近１か月の平均仕入単価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【Ｅ】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原油等の前年同月の平均仕入単価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【ｅ】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原油等の仕入単価の上昇率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E/</w:t>
            </w:r>
            <w:r>
              <w:rPr>
                <w:rFonts w:hint="eastAsia" w:ascii="ＭＳ ゴシック" w:hAnsi="ＭＳ ゴシック" w:eastAsia="ＭＳ ゴシック"/>
              </w:rPr>
              <w:t>ｅ×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</w:tr>
      <w:tr>
        <w:trPr/>
        <w:tc>
          <w:tcPr>
            <w:tcW w:w="2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企業全体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３　企業全体の売上原価に占める原油等の仕入価格の割合</w:t>
      </w:r>
    </w:p>
    <w:tbl>
      <w:tblPr>
        <w:tblStyle w:val="1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62"/>
        <w:gridCol w:w="2260"/>
        <w:gridCol w:w="2766"/>
        <w:gridCol w:w="2698"/>
      </w:tblGrid>
      <w:tr>
        <w:trPr>
          <w:trHeight w:val="1147" w:hRule="atLeast"/>
        </w:trPr>
        <w:tc>
          <w:tcPr>
            <w:tcW w:w="20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最新の売上原価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【Ｃ】</w:t>
            </w:r>
          </w:p>
        </w:tc>
        <w:tc>
          <w:tcPr>
            <w:tcW w:w="2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最新の売上原価に対応する原油等の仕入価格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【Ｓ】</w:t>
            </w:r>
          </w:p>
        </w:tc>
        <w:tc>
          <w:tcPr>
            <w:tcW w:w="2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売上原価に占める原油等の仕入価格の割合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S/C</w:t>
            </w:r>
            <w:r>
              <w:rPr>
                <w:rFonts w:hint="eastAsia" w:ascii="ＭＳ ゴシック" w:hAnsi="ＭＳ ゴシック" w:eastAsia="ＭＳ ゴシック"/>
              </w:rPr>
              <w:t>×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</w:tr>
      <w:tr>
        <w:trPr>
          <w:trHeight w:val="363" w:hRule="atLeast"/>
        </w:trPr>
        <w:tc>
          <w:tcPr>
            <w:tcW w:w="20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企業全体</w:t>
            </w:r>
          </w:p>
        </w:tc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firstLine="283" w:firstLineChars="135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最新の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売上原価及び原油等の仕入価格は、直近の決算期の値を用いることも可。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ind w:firstLine="105" w:firstLineChars="50"/>
        <w:jc w:val="left"/>
        <w:rPr>
          <w:rFonts w:hint="default" w:ascii="ＭＳ ゴシック" w:hAnsi="ＭＳ ゴシック" w:eastAsia="ＭＳ ゴシック"/>
          <w:b w:val="1"/>
          <w:color w:val="000000"/>
          <w:kern w:val="0"/>
        </w:rPr>
      </w:pPr>
      <w:r>
        <w:rPr>
          <w:rFonts w:hint="eastAsia" w:ascii="ＭＳ ゴシック" w:hAnsi="ＭＳ ゴシック" w:eastAsia="ＭＳ ゴシック"/>
          <w:b w:val="1"/>
        </w:rPr>
        <w:t>４　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</w:rPr>
        <w:t>企業全体の製品等価格への転嫁の状況</w:t>
      </w:r>
    </w:p>
    <w:tbl>
      <w:tblPr>
        <w:tblStyle w:val="11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>
        <w:trPr/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最近３か月間の原油等の仕入価格【</w:t>
            </w:r>
            <w:r>
              <w:rPr>
                <w:rFonts w:hint="eastAsia" w:ascii="ＭＳ ゴシック" w:hAnsi="ＭＳ ゴシック" w:eastAsia="ＭＳ ゴシック"/>
              </w:rPr>
              <w:t>A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最近３か月間の売上高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</w:t>
            </w:r>
            <w:r>
              <w:rPr>
                <w:rFonts w:hint="eastAsia" w:ascii="ＭＳ ゴシック" w:hAnsi="ＭＳ ゴシック" w:eastAsia="ＭＳ ゴシック"/>
              </w:rPr>
              <w:t>B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1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前年同期の原油等の仕入価格【</w:t>
            </w:r>
            <w:r>
              <w:rPr>
                <w:rFonts w:hint="eastAsia" w:ascii="ＭＳ ゴシック" w:hAnsi="ＭＳ ゴシック" w:eastAsia="ＭＳ ゴシック"/>
              </w:rPr>
              <w:t>a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前年同期の売上高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</w:t>
            </w:r>
            <w:r>
              <w:rPr>
                <w:rFonts w:hint="eastAsia" w:ascii="ＭＳ ゴシック" w:hAnsi="ＭＳ ゴシック" w:eastAsia="ＭＳ ゴシック"/>
              </w:rPr>
              <w:t>b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）－（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）＝Ｐ</w:t>
            </w:r>
          </w:p>
        </w:tc>
      </w:tr>
      <w:tr>
        <w:trPr/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</w:t>
            </w: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613" w:hanging="613" w:hangingChars="292"/>
        <w:jc w:val="left"/>
        <w:rPr>
          <w:rFonts w:hint="default" w:eastAsia="ＭＳ Ｐゴシック"/>
        </w:rPr>
      </w:pPr>
      <w:r>
        <w:rPr>
          <w:rFonts w:hint="eastAsia" w:eastAsia="ＭＳ Ｐゴシック"/>
        </w:rPr>
        <w:t>　※　「最近」とは、申請時点から概ね１か月前程度までを想定しています。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ab/>
      </w:r>
    </w:p>
    <w:p>
      <w:pPr>
        <w:pStyle w:val="0"/>
        <w:ind w:firstLine="1050" w:firstLineChars="5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eastAsia" w:eastAsia="ＭＳ Ｐゴシック"/>
        </w:rPr>
        <w:t>申請者</w:t>
      </w:r>
      <w:r>
        <w:rPr>
          <w:rFonts w:hint="default" w:eastAsia="ＭＳ Ｐゴシック"/>
        </w:rPr>
        <w:t>住所</w:t>
      </w:r>
    </w:p>
    <w:p>
      <w:pPr>
        <w:pStyle w:val="0"/>
        <w:ind w:firstLine="4620" w:firstLineChars="22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</w:t>
      </w:r>
      <w:r>
        <w:rPr>
          <w:rFonts w:hint="default" w:eastAsia="ＭＳ Ｐゴシック"/>
        </w:rPr>
        <w:t xml:space="preserve">            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結語 (文字)"/>
    <w:next w:val="16"/>
    <w:link w:val="15"/>
    <w:uiPriority w:val="0"/>
    <w:rPr>
      <w:rFonts w:eastAsia="ＭＳ ゴシック"/>
      <w:kern w:val="2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</Words>
  <Characters>595</Characters>
  <Application>JUST Note</Application>
  <Lines>92</Lines>
  <Paragraphs>61</Paragraphs>
  <Company>HP Inc.</Company>
  <CharactersWithSpaces>663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dcterms:created xsi:type="dcterms:W3CDTF">2023-08-03T00:05:00Z</dcterms:created>
  <dcterms:modified xsi:type="dcterms:W3CDTF">2023-08-03T00:05:00Z</dcterms:modified>
  <cp:revision>0</cp:revision>
</cp:coreProperties>
</file>