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ＭＳ 明朝" w:hAnsi="ＭＳ 明朝" w:eastAsia="ＭＳ 明朝"/>
          <w:sz w:val="21"/>
        </w:rPr>
      </w:pPr>
      <w:bookmarkStart w:id="0" w:name="_GoBack"/>
      <w:bookmarkEnd w:id="0"/>
      <w:r>
        <w:rPr>
          <w:rFonts w:hint="eastAsia" w:ascii="ＭＳ 明朝" w:hAnsi="ＭＳ 明朝" w:eastAsia="ＭＳ 明朝"/>
          <w:sz w:val="21"/>
        </w:rPr>
        <w:t>こどもの国運営業務委託　仕様書</w:t>
      </w:r>
    </w:p>
    <w:p>
      <w:pPr>
        <w:pStyle w:val="0"/>
        <w:jc w:val="left"/>
        <w:rPr>
          <w:rFonts w:hint="eastAsia" w:ascii="ＭＳ 明朝" w:hAnsi="ＭＳ 明朝" w:eastAsia="ＭＳ 明朝"/>
          <w:sz w:val="21"/>
        </w:rPr>
      </w:pPr>
    </w:p>
    <w:p>
      <w:pPr>
        <w:pStyle w:val="0"/>
        <w:jc w:val="left"/>
        <w:rPr>
          <w:rFonts w:hint="eastAsia" w:ascii="ＭＳ 明朝" w:hAnsi="ＭＳ 明朝" w:eastAsia="ＭＳ 明朝"/>
          <w:color w:val="auto"/>
          <w:sz w:val="21"/>
        </w:rPr>
      </w:pPr>
      <w:r>
        <w:rPr>
          <w:rFonts w:hint="eastAsia" w:ascii="ＭＳ 明朝" w:hAnsi="ＭＳ 明朝" w:eastAsia="ＭＳ 明朝"/>
          <w:sz w:val="21"/>
        </w:rPr>
        <w:t>１　</w:t>
      </w:r>
      <w:r>
        <w:rPr>
          <w:rFonts w:hint="eastAsia" w:ascii="ＭＳ 明朝" w:hAnsi="ＭＳ 明朝" w:eastAsia="ＭＳ 明朝"/>
          <w:color w:val="auto"/>
          <w:sz w:val="21"/>
        </w:rPr>
        <w:t>業務名</w:t>
      </w:r>
    </w:p>
    <w:p>
      <w:pPr>
        <w:pStyle w:val="0"/>
        <w:ind w:firstLine="210" w:firstLineChars="100"/>
        <w:jc w:val="left"/>
        <w:rPr>
          <w:rFonts w:hint="eastAsia" w:ascii="ＭＳ 明朝" w:hAnsi="ＭＳ 明朝" w:eastAsia="ＭＳ 明朝"/>
          <w:color w:val="auto"/>
          <w:sz w:val="21"/>
        </w:rPr>
      </w:pPr>
      <w:r>
        <w:rPr>
          <w:rFonts w:hint="eastAsia" w:ascii="ＭＳ 明朝" w:hAnsi="ＭＳ 明朝" w:eastAsia="ＭＳ 明朝"/>
          <w:color w:val="auto"/>
          <w:sz w:val="21"/>
        </w:rPr>
        <w:t>こどもの国運営業務委託</w:t>
      </w:r>
    </w:p>
    <w:p>
      <w:pPr>
        <w:pStyle w:val="0"/>
        <w:jc w:val="left"/>
        <w:rPr>
          <w:rFonts w:hint="eastAsia" w:ascii="ＭＳ 明朝" w:hAnsi="ＭＳ 明朝" w:eastAsia="ＭＳ 明朝"/>
          <w:color w:val="auto"/>
          <w:sz w:val="21"/>
        </w:rPr>
      </w:pP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２　業務の目的及び基本理念</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color w:val="auto"/>
          <w:sz w:val="21"/>
        </w:rPr>
        <w:t>本業務は、基</w:t>
      </w:r>
      <w:r>
        <w:rPr>
          <w:rFonts w:hint="eastAsia" w:ascii="ＭＳ 明朝" w:hAnsi="ＭＳ 明朝" w:eastAsia="ＭＳ 明朝"/>
          <w:sz w:val="21"/>
        </w:rPr>
        <w:t>本計画に掲げる「すくすく、健やかに、学び育てる、ゆたかな心」を基本理念とし、天候に左右されない全天候型遊戯施設において、プレーパーク（冒険遊び場）の手法を取り入れた運営を行う。</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子どもたちが自ら考え、行動し、工夫する力を育むとともに、遊びを通じた学びや自然との関わりを提供し、主体性、創造性、社会性を育む。また、保護者がリフレッシュでき、多世代が交流できる地域コミュニティの拠点となることを目的とする。</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なお、本施設はプレーパークそのものとして運営するものではなく、大型屋内遊び場としての安全かつ適切な施設管理を基本とし、その上でプレーパークの考え方や手法を取り入れ、基本計画に掲げる施設機能を総合的に発揮するものとする。</w:t>
      </w:r>
    </w:p>
    <w:p>
      <w:pPr>
        <w:pStyle w:val="0"/>
        <w:ind w:firstLine="210" w:firstLineChars="100"/>
        <w:jc w:val="left"/>
        <w:rPr>
          <w:rFonts w:hint="eastAsia" w:ascii="ＭＳ 明朝" w:hAnsi="ＭＳ 明朝" w:eastAsia="ＭＳ 明朝"/>
          <w:sz w:val="21"/>
        </w:rPr>
      </w:pPr>
    </w:p>
    <w:p>
      <w:pPr>
        <w:pStyle w:val="0"/>
        <w:jc w:val="left"/>
        <w:rPr>
          <w:rFonts w:hint="eastAsia" w:ascii="ＭＳ 明朝" w:hAnsi="ＭＳ 明朝" w:eastAsia="ＭＳ 明朝"/>
          <w:color w:val="auto"/>
          <w:sz w:val="21"/>
        </w:rPr>
      </w:pPr>
      <w:r>
        <w:rPr>
          <w:rFonts w:hint="eastAsia" w:ascii="ＭＳ 明朝" w:hAnsi="ＭＳ 明朝" w:eastAsia="ＭＳ 明朝"/>
          <w:sz w:val="21"/>
        </w:rPr>
        <w:t>３　実施主体及び</w:t>
      </w:r>
      <w:r>
        <w:rPr>
          <w:rFonts w:hint="eastAsia" w:ascii="ＭＳ 明朝" w:hAnsi="ＭＳ 明朝" w:eastAsia="ＭＳ 明朝"/>
          <w:color w:val="auto"/>
          <w:sz w:val="21"/>
        </w:rPr>
        <w:t>業務受託者</w:t>
      </w:r>
    </w:p>
    <w:p>
      <w:pPr>
        <w:pStyle w:val="0"/>
        <w:ind w:firstLine="210" w:firstLineChars="100"/>
        <w:jc w:val="left"/>
        <w:rPr>
          <w:rFonts w:hint="eastAsia" w:ascii="ＭＳ 明朝" w:hAnsi="ＭＳ 明朝" w:eastAsia="ＭＳ 明朝"/>
          <w:color w:val="auto"/>
          <w:sz w:val="21"/>
        </w:rPr>
      </w:pPr>
      <w:r>
        <w:rPr>
          <w:rFonts w:hint="eastAsia" w:ascii="ＭＳ 明朝" w:hAnsi="ＭＳ 明朝" w:eastAsia="ＭＳ 明朝"/>
          <w:color w:val="auto"/>
          <w:sz w:val="21"/>
        </w:rPr>
        <w:t>実施主体：宿毛市（以下「市」という。）</w:t>
      </w:r>
    </w:p>
    <w:p>
      <w:pPr>
        <w:pStyle w:val="0"/>
        <w:ind w:firstLine="210" w:firstLineChars="100"/>
        <w:jc w:val="left"/>
        <w:rPr>
          <w:rFonts w:hint="eastAsia" w:ascii="ＭＳ 明朝" w:hAnsi="ＭＳ 明朝" w:eastAsia="ＭＳ 明朝"/>
          <w:color w:val="auto"/>
          <w:sz w:val="21"/>
        </w:rPr>
      </w:pPr>
      <w:r>
        <w:rPr>
          <w:rFonts w:hint="eastAsia" w:ascii="ＭＳ 明朝" w:hAnsi="ＭＳ 明朝" w:eastAsia="ＭＳ 明朝"/>
          <w:color w:val="auto"/>
          <w:sz w:val="21"/>
        </w:rPr>
        <w:t>業務受託者：本業務を受託する事業者（以下「受託者」という。）</w:t>
      </w:r>
    </w:p>
    <w:p>
      <w:pPr>
        <w:pStyle w:val="0"/>
        <w:ind w:firstLine="210" w:firstLineChars="100"/>
        <w:jc w:val="left"/>
        <w:rPr>
          <w:rFonts w:hint="eastAsia" w:ascii="ＭＳ 明朝" w:hAnsi="ＭＳ 明朝" w:eastAsia="ＭＳ 明朝"/>
          <w:color w:val="auto"/>
          <w:sz w:val="21"/>
        </w:rPr>
      </w:pPr>
      <w:r>
        <w:rPr>
          <w:rFonts w:hint="eastAsia" w:ascii="ＭＳ 明朝" w:hAnsi="ＭＳ 明朝" w:eastAsia="ＭＳ 明朝"/>
          <w:color w:val="auto"/>
          <w:sz w:val="21"/>
        </w:rPr>
        <w:t>本施設の運営主体は市とし、受託者は、本仕様書及び契約書に基づき、市から委託された運営業務を実施するものとする。</w:t>
      </w:r>
    </w:p>
    <w:p>
      <w:pPr>
        <w:pStyle w:val="0"/>
        <w:ind w:firstLine="210" w:firstLineChars="10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1"/>
        </w:rPr>
        <w:t>４　履行場所</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名　称：宿毛東部農村環境改善センター（以下「本施設」という。）</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所在地：宿毛市平田町戸内</w:t>
      </w:r>
      <w:r>
        <w:rPr>
          <w:rFonts w:hint="eastAsia" w:ascii="ＭＳ 明朝" w:hAnsi="ＭＳ 明朝" w:eastAsia="ＭＳ 明朝"/>
          <w:sz w:val="21"/>
        </w:rPr>
        <w:t>3357</w:t>
      </w:r>
      <w:r>
        <w:rPr>
          <w:rFonts w:hint="eastAsia" w:ascii="ＭＳ 明朝" w:hAnsi="ＭＳ 明朝" w:eastAsia="ＭＳ 明朝"/>
          <w:sz w:val="21"/>
        </w:rPr>
        <w:t>番地</w:t>
      </w:r>
      <w:r>
        <w:rPr>
          <w:rFonts w:hint="eastAsia" w:ascii="ＭＳ 明朝" w:hAnsi="ＭＳ 明朝" w:eastAsia="ＭＳ 明朝"/>
          <w:sz w:val="21"/>
        </w:rPr>
        <w:t>2</w:t>
      </w:r>
    </w:p>
    <w:p>
      <w:pPr>
        <w:pStyle w:val="0"/>
        <w:ind w:firstLine="210" w:firstLineChars="10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1"/>
        </w:rPr>
        <w:t>５　委託期間及び開所日</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委託期間：令和</w:t>
      </w:r>
      <w:r>
        <w:rPr>
          <w:rFonts w:hint="eastAsia" w:ascii="ＭＳ 明朝" w:hAnsi="ＭＳ 明朝" w:eastAsia="ＭＳ 明朝"/>
          <w:sz w:val="21"/>
        </w:rPr>
        <w:t>10</w:t>
      </w:r>
      <w:r>
        <w:rPr>
          <w:rFonts w:hint="eastAsia" w:ascii="ＭＳ 明朝" w:hAnsi="ＭＳ 明朝" w:eastAsia="ＭＳ 明朝"/>
          <w:sz w:val="21"/>
        </w:rPr>
        <w:t>年</w:t>
      </w:r>
      <w:r>
        <w:rPr>
          <w:rFonts w:hint="eastAsia" w:ascii="ＭＳ 明朝" w:hAnsi="ＭＳ 明朝" w:eastAsia="ＭＳ 明朝"/>
          <w:sz w:val="21"/>
        </w:rPr>
        <w:t>4</w:t>
      </w:r>
      <w:r>
        <w:rPr>
          <w:rFonts w:hint="eastAsia" w:ascii="ＭＳ 明朝" w:hAnsi="ＭＳ 明朝" w:eastAsia="ＭＳ 明朝"/>
          <w:sz w:val="21"/>
        </w:rPr>
        <w:t>月</w:t>
      </w:r>
      <w:r>
        <w:rPr>
          <w:rFonts w:hint="eastAsia" w:ascii="ＭＳ 明朝" w:hAnsi="ＭＳ 明朝" w:eastAsia="ＭＳ 明朝"/>
          <w:sz w:val="21"/>
        </w:rPr>
        <w:t>1</w:t>
      </w:r>
      <w:r>
        <w:rPr>
          <w:rFonts w:hint="eastAsia" w:ascii="ＭＳ 明朝" w:hAnsi="ＭＳ 明朝" w:eastAsia="ＭＳ 明朝"/>
          <w:sz w:val="21"/>
        </w:rPr>
        <w:t>日から令和</w:t>
      </w:r>
      <w:r>
        <w:rPr>
          <w:rFonts w:hint="eastAsia" w:ascii="ＭＳ 明朝" w:hAnsi="ＭＳ 明朝" w:eastAsia="ＭＳ 明朝"/>
          <w:sz w:val="21"/>
        </w:rPr>
        <w:t>13</w:t>
      </w:r>
      <w:r>
        <w:rPr>
          <w:rFonts w:hint="eastAsia" w:ascii="ＭＳ 明朝" w:hAnsi="ＭＳ 明朝" w:eastAsia="ＭＳ 明朝"/>
          <w:sz w:val="21"/>
        </w:rPr>
        <w:t>年</w:t>
      </w:r>
      <w:r>
        <w:rPr>
          <w:rFonts w:hint="eastAsia" w:ascii="ＭＳ 明朝" w:hAnsi="ＭＳ 明朝" w:eastAsia="ＭＳ 明朝"/>
          <w:sz w:val="21"/>
        </w:rPr>
        <w:t>3</w:t>
      </w:r>
      <w:r>
        <w:rPr>
          <w:rFonts w:hint="eastAsia" w:ascii="ＭＳ 明朝" w:hAnsi="ＭＳ 明朝" w:eastAsia="ＭＳ 明朝"/>
          <w:sz w:val="21"/>
        </w:rPr>
        <w:t>月</w:t>
      </w:r>
      <w:r>
        <w:rPr>
          <w:rFonts w:hint="eastAsia" w:ascii="ＭＳ 明朝" w:hAnsi="ＭＳ 明朝" w:eastAsia="ＭＳ 明朝"/>
          <w:sz w:val="21"/>
        </w:rPr>
        <w:t>31</w:t>
      </w:r>
      <w:r>
        <w:rPr>
          <w:rFonts w:hint="eastAsia" w:ascii="ＭＳ 明朝" w:hAnsi="ＭＳ 明朝" w:eastAsia="ＭＳ 明朝"/>
          <w:sz w:val="21"/>
        </w:rPr>
        <w:t>日まで（</w:t>
      </w:r>
      <w:r>
        <w:rPr>
          <w:rFonts w:hint="eastAsia" w:ascii="ＭＳ 明朝" w:hAnsi="ＭＳ 明朝" w:eastAsia="ＭＳ 明朝"/>
          <w:sz w:val="21"/>
        </w:rPr>
        <w:t>3</w:t>
      </w:r>
      <w:r>
        <w:rPr>
          <w:rFonts w:hint="eastAsia" w:ascii="ＭＳ 明朝" w:hAnsi="ＭＳ 明朝" w:eastAsia="ＭＳ 明朝"/>
          <w:sz w:val="21"/>
        </w:rPr>
        <w:t>年間）</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開</w:t>
      </w:r>
      <w:r>
        <w:rPr>
          <w:rFonts w:hint="eastAsia" w:ascii="ＭＳ 明朝" w:hAnsi="ＭＳ 明朝" w:eastAsia="ＭＳ 明朝"/>
          <w:sz w:val="21"/>
        </w:rPr>
        <w:t xml:space="preserve"> </w:t>
      </w:r>
      <w:r>
        <w:rPr>
          <w:rFonts w:hint="eastAsia" w:ascii="ＭＳ 明朝" w:hAnsi="ＭＳ 明朝" w:eastAsia="ＭＳ 明朝"/>
          <w:sz w:val="21"/>
        </w:rPr>
        <w:t>所</w:t>
      </w:r>
      <w:r>
        <w:rPr>
          <w:rFonts w:hint="eastAsia" w:ascii="ＭＳ 明朝" w:hAnsi="ＭＳ 明朝" w:eastAsia="ＭＳ 明朝"/>
          <w:sz w:val="21"/>
        </w:rPr>
        <w:t xml:space="preserve"> </w:t>
      </w:r>
      <w:r>
        <w:rPr>
          <w:rFonts w:hint="eastAsia" w:ascii="ＭＳ 明朝" w:hAnsi="ＭＳ 明朝" w:eastAsia="ＭＳ 明朝"/>
          <w:sz w:val="21"/>
        </w:rPr>
        <w:t>日：土曜日、日曜日、祝日及び長期休暇期間（春休み・夏休み・冬休み）</w:t>
      </w:r>
    </w:p>
    <w:p>
      <w:pPr>
        <w:pStyle w:val="0"/>
        <w:ind w:firstLine="1260" w:firstLineChars="600"/>
        <w:jc w:val="left"/>
        <w:rPr>
          <w:rFonts w:hint="eastAsia" w:ascii="ＭＳ 明朝" w:hAnsi="ＭＳ 明朝" w:eastAsia="ＭＳ 明朝"/>
          <w:sz w:val="21"/>
        </w:rPr>
      </w:pPr>
      <w:r>
        <w:rPr>
          <w:rFonts w:hint="eastAsia" w:ascii="ＭＳ 明朝" w:hAnsi="ＭＳ 明朝" w:eastAsia="ＭＳ 明朝"/>
          <w:sz w:val="21"/>
        </w:rPr>
        <w:t>※ただし、年末年始（</w:t>
      </w:r>
      <w:r>
        <w:rPr>
          <w:rFonts w:hint="eastAsia" w:ascii="ＭＳ 明朝" w:hAnsi="ＭＳ 明朝" w:eastAsia="ＭＳ 明朝"/>
          <w:sz w:val="21"/>
        </w:rPr>
        <w:t>12</w:t>
      </w:r>
      <w:r>
        <w:rPr>
          <w:rFonts w:hint="eastAsia" w:ascii="ＭＳ 明朝" w:hAnsi="ＭＳ 明朝" w:eastAsia="ＭＳ 明朝"/>
          <w:sz w:val="21"/>
        </w:rPr>
        <w:t>月</w:t>
      </w:r>
      <w:r>
        <w:rPr>
          <w:rFonts w:hint="eastAsia" w:ascii="ＭＳ 明朝" w:hAnsi="ＭＳ 明朝" w:eastAsia="ＭＳ 明朝"/>
          <w:sz w:val="21"/>
        </w:rPr>
        <w:t>29</w:t>
      </w:r>
      <w:r>
        <w:rPr>
          <w:rFonts w:hint="eastAsia" w:ascii="ＭＳ 明朝" w:hAnsi="ＭＳ 明朝" w:eastAsia="ＭＳ 明朝"/>
          <w:sz w:val="21"/>
        </w:rPr>
        <w:t>日から</w:t>
      </w:r>
      <w:r>
        <w:rPr>
          <w:rFonts w:hint="eastAsia" w:ascii="ＭＳ 明朝" w:hAnsi="ＭＳ 明朝" w:eastAsia="ＭＳ 明朝"/>
          <w:sz w:val="21"/>
        </w:rPr>
        <w:t>1</w:t>
      </w:r>
      <w:r>
        <w:rPr>
          <w:rFonts w:hint="eastAsia" w:ascii="ＭＳ 明朝" w:hAnsi="ＭＳ 明朝" w:eastAsia="ＭＳ 明朝"/>
          <w:sz w:val="21"/>
        </w:rPr>
        <w:t>月</w:t>
      </w:r>
      <w:r>
        <w:rPr>
          <w:rFonts w:hint="eastAsia" w:ascii="ＭＳ 明朝" w:hAnsi="ＭＳ 明朝" w:eastAsia="ＭＳ 明朝"/>
          <w:sz w:val="21"/>
        </w:rPr>
        <w:t>3</w:t>
      </w:r>
      <w:r>
        <w:rPr>
          <w:rFonts w:hint="eastAsia" w:ascii="ＭＳ 明朝" w:hAnsi="ＭＳ 明朝" w:eastAsia="ＭＳ 明朝"/>
          <w:sz w:val="21"/>
        </w:rPr>
        <w:t>日）は除く。</w:t>
      </w:r>
    </w:p>
    <w:p>
      <w:pPr>
        <w:pStyle w:val="0"/>
        <w:ind w:left="1260" w:leftChars="100" w:hanging="1050" w:hangingChars="500"/>
        <w:jc w:val="left"/>
        <w:rPr>
          <w:rFonts w:hint="eastAsia" w:ascii="ＭＳ 明朝" w:hAnsi="ＭＳ 明朝" w:eastAsia="ＭＳ 明朝"/>
          <w:sz w:val="21"/>
        </w:rPr>
      </w:pPr>
      <w:r>
        <w:rPr>
          <w:rFonts w:hint="eastAsia" w:ascii="ＭＳ 明朝" w:hAnsi="ＭＳ 明朝" w:eastAsia="ＭＳ 明朝"/>
          <w:sz w:val="21"/>
        </w:rPr>
        <w:t>開所時間：開所時間については、子ども及び子育て世帯の利用実態や利便性、季節、長期休暇期間等を考慮し、利用者が利用しやすい時間帯を設定するものとする。</w:t>
      </w:r>
    </w:p>
    <w:p>
      <w:pPr>
        <w:pStyle w:val="0"/>
        <w:ind w:left="1260" w:leftChars="600" w:firstLine="0" w:firstLineChars="0"/>
        <w:jc w:val="left"/>
        <w:rPr>
          <w:rFonts w:hint="eastAsia" w:ascii="ＭＳ 明朝" w:hAnsi="ＭＳ 明朝" w:eastAsia="ＭＳ 明朝"/>
          <w:sz w:val="21"/>
        </w:rPr>
      </w:pPr>
      <w:r>
        <w:rPr>
          <w:rFonts w:hint="eastAsia" w:ascii="ＭＳ 明朝" w:hAnsi="ＭＳ 明朝" w:eastAsia="ＭＳ 明朝"/>
          <w:sz w:val="21"/>
        </w:rPr>
        <w:t>なお、具体的な開所時間については、受託者の提案を踏まえ、市と受託者が協議の上決定するものとする。</w:t>
      </w:r>
    </w:p>
    <w:p>
      <w:pPr>
        <w:pStyle w:val="0"/>
        <w:ind w:left="1260" w:leftChars="100" w:hanging="1050" w:hangingChars="50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1"/>
        </w:rPr>
        <w:t>６　業務委託料（令和</w:t>
      </w:r>
      <w:r>
        <w:rPr>
          <w:rFonts w:hint="eastAsia" w:ascii="ＭＳ 明朝" w:hAnsi="ＭＳ 明朝" w:eastAsia="ＭＳ 明朝"/>
          <w:sz w:val="21"/>
        </w:rPr>
        <w:t>10</w:t>
      </w:r>
      <w:r>
        <w:rPr>
          <w:rFonts w:hint="eastAsia" w:ascii="ＭＳ 明朝" w:hAnsi="ＭＳ 明朝" w:eastAsia="ＭＳ 明朝"/>
          <w:sz w:val="21"/>
        </w:rPr>
        <w:t>年度から令和</w:t>
      </w:r>
      <w:r>
        <w:rPr>
          <w:rFonts w:hint="eastAsia" w:ascii="ＭＳ 明朝" w:hAnsi="ＭＳ 明朝" w:eastAsia="ＭＳ 明朝"/>
          <w:sz w:val="21"/>
        </w:rPr>
        <w:t>12</w:t>
      </w:r>
      <w:r>
        <w:rPr>
          <w:rFonts w:hint="eastAsia" w:ascii="ＭＳ 明朝" w:hAnsi="ＭＳ 明朝" w:eastAsia="ＭＳ 明朝"/>
          <w:sz w:val="21"/>
        </w:rPr>
        <w:t>年度までの</w:t>
      </w:r>
      <w:r>
        <w:rPr>
          <w:rFonts w:hint="eastAsia" w:ascii="ＭＳ 明朝" w:hAnsi="ＭＳ 明朝" w:eastAsia="ＭＳ 明朝"/>
          <w:sz w:val="21"/>
        </w:rPr>
        <w:t>3</w:t>
      </w:r>
      <w:r>
        <w:rPr>
          <w:rFonts w:hint="eastAsia" w:ascii="ＭＳ 明朝" w:hAnsi="ＭＳ 明朝" w:eastAsia="ＭＳ 明朝"/>
          <w:sz w:val="21"/>
        </w:rPr>
        <w:t>年間）</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本事業の業務委託料は、</w:t>
      </w:r>
      <w:r>
        <w:rPr>
          <w:rFonts w:hint="eastAsia" w:ascii="ＭＳ 明朝" w:hAnsi="ＭＳ 明朝" w:eastAsia="ＭＳ 明朝"/>
          <w:color w:val="auto"/>
          <w:sz w:val="21"/>
        </w:rPr>
        <w:t>88,165</w:t>
      </w:r>
      <w:r>
        <w:rPr>
          <w:rFonts w:hint="eastAsia" w:ascii="ＭＳ 明朝" w:hAnsi="ＭＳ 明朝" w:eastAsia="ＭＳ 明朝"/>
          <w:sz w:val="21"/>
        </w:rPr>
        <w:t>千円（消費税及び地方消費税を含む。）を上限とする。</w:t>
      </w:r>
    </w:p>
    <w:p>
      <w:pPr>
        <w:pStyle w:val="0"/>
        <w:jc w:val="left"/>
        <w:rPr>
          <w:rFonts w:hint="eastAsia" w:ascii="ＭＳ 明朝" w:hAnsi="ＭＳ 明朝" w:eastAsia="ＭＳ 明朝"/>
          <w:sz w:val="21"/>
        </w:rPr>
      </w:pPr>
      <w:r>
        <w:rPr>
          <w:rFonts w:hint="eastAsia" w:ascii="ＭＳ 明朝" w:hAnsi="ＭＳ 明朝" w:eastAsia="ＭＳ 明朝"/>
          <w:sz w:val="21"/>
        </w:rPr>
        <w:t>７　経費の負担区分</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受託者が本</w:t>
      </w:r>
      <w:r>
        <w:rPr>
          <w:rFonts w:hint="eastAsia" w:ascii="ＭＳ 明朝" w:hAnsi="ＭＳ 明朝" w:eastAsia="ＭＳ 明朝"/>
          <w:color w:val="auto"/>
          <w:sz w:val="21"/>
        </w:rPr>
        <w:t>業務に</w:t>
      </w:r>
      <w:r>
        <w:rPr>
          <w:rFonts w:hint="eastAsia" w:ascii="ＭＳ 明朝" w:hAnsi="ＭＳ 明朝" w:eastAsia="ＭＳ 明朝"/>
          <w:sz w:val="21"/>
        </w:rPr>
        <w:t>使用する本施設の使用料は免除とする。</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人件費、広告宣伝費、通信費、日常清掃費、遊びの素材・消耗品費（教材費、事務用品、トイレットペーパー等）その他日常的な運営に要する経費は、受託者の負担（委託料に含む。）とし、日常的な管理に伴う軽微な補修及び消耗品の交換</w:t>
      </w:r>
      <w:r>
        <w:rPr>
          <w:rFonts w:hint="eastAsia" w:ascii="ＭＳ 明朝" w:hAnsi="ＭＳ 明朝" w:eastAsia="ＭＳ 明朝"/>
          <w:color w:val="auto"/>
          <w:sz w:val="21"/>
        </w:rPr>
        <w:t>についても</w:t>
      </w:r>
      <w:r>
        <w:rPr>
          <w:rFonts w:hint="eastAsia" w:ascii="ＭＳ 明朝" w:hAnsi="ＭＳ 明朝" w:eastAsia="ＭＳ 明朝"/>
          <w:sz w:val="21"/>
        </w:rPr>
        <w:t>受託者の負担とする。</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なお、水道光熱費（水道料金、ガス料金及び電気料金）、建物、附帯設備及び遊具等の経年劣化又は通常損耗に伴う修繕費、定期清掃業務の委託費並びに遊具・設備等の専門的な定期点検費用は市の負担とする。受託者の故意又は過失により生じた損傷等については、受託者の負担を基本とし、市と受託者が協議の上決定する。</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その他の費用負担については、別途「費用負担区分表」に定めるものとする。</w:t>
      </w:r>
    </w:p>
    <w:p>
      <w:pPr>
        <w:pStyle w:val="0"/>
        <w:ind w:firstLine="210" w:firstLineChars="10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1"/>
        </w:rPr>
        <w:t>８　基本的な運営方針</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受託者は、基本計画に掲げる基本理念及び基本方針を十分に理解し、安全かつ適切な施設管理を基本としながら、プレーパーク（冒険遊び場）の考え方や手法を取り入れ、子どもの主体性、創造性及び社会性を育む運営を行うものとする。</w:t>
      </w:r>
    </w:p>
    <w:p>
      <w:pPr>
        <w:pStyle w:val="0"/>
        <w:jc w:val="left"/>
        <w:rPr>
          <w:rFonts w:hint="eastAsia" w:ascii="ＭＳ 明朝" w:hAnsi="ＭＳ 明朝" w:eastAsia="ＭＳ 明朝"/>
          <w:sz w:val="21"/>
        </w:rPr>
      </w:pPr>
      <w:r>
        <w:rPr>
          <w:rFonts w:hint="eastAsia" w:ascii="ＭＳ 明朝" w:hAnsi="ＭＳ 明朝" w:eastAsia="ＭＳ 明朝"/>
          <w:sz w:val="21"/>
        </w:rPr>
        <w:t>（１）子どもの主体性を尊重した遊びの環境づくり</w:t>
      </w:r>
    </w:p>
    <w:p>
      <w:pPr>
        <w:pStyle w:val="0"/>
        <w:ind w:left="210" w:leftChars="100" w:firstLine="210" w:firstLineChars="100"/>
        <w:jc w:val="left"/>
        <w:rPr>
          <w:rFonts w:hint="eastAsia" w:ascii="ＭＳ 明朝" w:hAnsi="ＭＳ 明朝" w:eastAsia="ＭＳ 明朝"/>
          <w:sz w:val="21"/>
        </w:rPr>
      </w:pPr>
      <w:r>
        <w:rPr>
          <w:rFonts w:hint="eastAsia" w:ascii="ＭＳ 明朝" w:hAnsi="ＭＳ 明朝" w:eastAsia="ＭＳ 明朝"/>
          <w:sz w:val="21"/>
        </w:rPr>
        <w:t>過度な利用制限を設けることなく、子どもの発達段階や遊びの特性に応じた安全管理のもと、子どもの自由な発想による遊びや挑戦を尊重すること。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（２）素材と環境の提供</w:t>
      </w:r>
    </w:p>
    <w:p>
      <w:pPr>
        <w:pStyle w:val="0"/>
        <w:ind w:left="210" w:leftChars="100" w:firstLine="210" w:firstLineChars="100"/>
        <w:jc w:val="left"/>
        <w:rPr>
          <w:rFonts w:hint="eastAsia" w:ascii="ＭＳ 明朝" w:hAnsi="ＭＳ 明朝" w:eastAsia="ＭＳ 明朝"/>
          <w:sz w:val="21"/>
        </w:rPr>
      </w:pPr>
      <w:r>
        <w:rPr>
          <w:rFonts w:hint="eastAsia" w:ascii="ＭＳ 明朝" w:hAnsi="ＭＳ 明朝" w:eastAsia="ＭＳ 明朝"/>
          <w:sz w:val="21"/>
        </w:rPr>
        <w:t>固定遊具での遊びにとどまらず、廃材、自然素材、工具、水、泥などを活用した「ものづくり」や「自然体験」を日常的に提供すること。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（３）異年齢・多世代交流の促進</w:t>
      </w:r>
    </w:p>
    <w:p>
      <w:pPr>
        <w:pStyle w:val="0"/>
        <w:ind w:left="210" w:leftChars="100" w:firstLine="210" w:firstLineChars="100"/>
        <w:jc w:val="left"/>
        <w:rPr>
          <w:rFonts w:hint="eastAsia" w:ascii="ＭＳ 明朝" w:hAnsi="ＭＳ 明朝" w:eastAsia="ＭＳ 明朝"/>
          <w:sz w:val="21"/>
        </w:rPr>
      </w:pPr>
      <w:r>
        <w:rPr>
          <w:rFonts w:hint="eastAsia" w:ascii="ＭＳ 明朝" w:hAnsi="ＭＳ 明朝" w:eastAsia="ＭＳ 明朝"/>
          <w:sz w:val="21"/>
        </w:rPr>
        <w:t>基本計画に定める各ゾーンを柔軟に連携させ、乳幼児、小学生、保護者、地域住民が自然に関わり合える場を創出すること。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（４）施設の衛生・美観維持</w:t>
      </w:r>
    </w:p>
    <w:p>
      <w:pPr>
        <w:pStyle w:val="0"/>
        <w:ind w:left="210" w:leftChars="100" w:firstLine="210" w:firstLineChars="100"/>
        <w:jc w:val="left"/>
        <w:rPr>
          <w:rFonts w:hint="eastAsia" w:ascii="ＭＳ 明朝" w:hAnsi="ＭＳ 明朝" w:eastAsia="ＭＳ 明朝"/>
          <w:sz w:val="21"/>
        </w:rPr>
      </w:pPr>
      <w:r>
        <w:rPr>
          <w:rFonts w:hint="eastAsia" w:ascii="ＭＳ 明朝" w:hAnsi="ＭＳ 明朝" w:eastAsia="ＭＳ 明朝"/>
          <w:sz w:val="21"/>
        </w:rPr>
        <w:t>泥遊びや工作等で施設が汚れることを前提とした上で、清掃やシャワー室等の適切な管理を行い、常に衛生的な環境を維持すること。</w:t>
      </w:r>
    </w:p>
    <w:p>
      <w:pPr>
        <w:pStyle w:val="0"/>
        <w:ind w:left="210" w:leftChars="100" w:firstLine="210" w:firstLineChars="10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1"/>
        </w:rPr>
        <w:t>９　施設内のゾーン別運営方針</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受託者は、基本計画に基づく各ゾーンの特性及び機能を十分に理解し、それぞれの機能を活かすとともに、必要に応じてゾーン間を柔軟に連携させた運営を行うこと。</w:t>
      </w:r>
    </w:p>
    <w:p>
      <w:pPr>
        <w:pStyle w:val="0"/>
        <w:jc w:val="left"/>
        <w:rPr>
          <w:rFonts w:hint="eastAsia" w:ascii="ＭＳ 明朝" w:hAnsi="ＭＳ 明朝" w:eastAsia="ＭＳ 明朝"/>
          <w:sz w:val="21"/>
        </w:rPr>
      </w:pPr>
      <w:r>
        <w:rPr>
          <w:rFonts w:hint="eastAsia" w:ascii="ＭＳ 明朝" w:hAnsi="ＭＳ 明朝" w:eastAsia="ＭＳ 明朝"/>
          <w:sz w:val="21"/>
        </w:rPr>
        <w:t>（１）はいはい・安心ゾーン</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　児童と幼児の動線に配慮し、親子が安心・安全に過ごせる見守り空間を提供すること。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（２）屋内アクティブゾーン</w:t>
      </w:r>
    </w:p>
    <w:p>
      <w:pPr>
        <w:pStyle w:val="0"/>
        <w:ind w:left="210" w:leftChars="100" w:firstLine="0" w:firstLineChars="0"/>
        <w:jc w:val="left"/>
        <w:rPr>
          <w:rFonts w:hint="eastAsia" w:ascii="ＭＳ 明朝" w:hAnsi="ＭＳ 明朝" w:eastAsia="ＭＳ 明朝"/>
          <w:sz w:val="21"/>
        </w:rPr>
      </w:pPr>
      <w:r>
        <w:rPr>
          <w:rFonts w:hint="eastAsia" w:ascii="ＭＳ 明朝" w:hAnsi="ＭＳ 明朝" w:eastAsia="ＭＳ 明朝"/>
          <w:sz w:val="21"/>
        </w:rPr>
        <w:t>　吹き抜け空間等を活かし、子どもが自分のペースで主体的に挑戦できるダイナミックな遊びを支援すること。</w:t>
      </w:r>
    </w:p>
    <w:p>
      <w:pPr>
        <w:pStyle w:val="0"/>
        <w:ind w:left="210" w:leftChars="100" w:firstLine="0" w:firstLineChars="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1"/>
        </w:rPr>
        <w:t>（３）ものづくり・イベントゾーン</w:t>
      </w:r>
    </w:p>
    <w:p>
      <w:pPr>
        <w:pStyle w:val="0"/>
        <w:jc w:val="left"/>
        <w:rPr>
          <w:rFonts w:hint="eastAsia" w:ascii="ＭＳ 明朝" w:hAnsi="ＭＳ 明朝" w:eastAsia="ＭＳ 明朝"/>
          <w:sz w:val="21"/>
        </w:rPr>
      </w:pPr>
      <w:r>
        <w:rPr>
          <w:rFonts w:hint="eastAsia" w:ascii="ＭＳ 明朝" w:hAnsi="ＭＳ 明朝" w:eastAsia="ＭＳ 明朝"/>
          <w:sz w:val="21"/>
        </w:rPr>
        <w:t>　　工具や素材等を活用し、ワークショップや自由な創作活動ができる環境を提供すること。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（４）屋外アクティブゾーン</w:t>
      </w:r>
    </w:p>
    <w:p>
      <w:pPr>
        <w:pStyle w:val="0"/>
        <w:ind w:left="210" w:leftChars="100" w:firstLine="0" w:firstLineChars="0"/>
        <w:jc w:val="left"/>
        <w:rPr>
          <w:rFonts w:hint="eastAsia" w:ascii="ＭＳ 明朝" w:hAnsi="ＭＳ 明朝" w:eastAsia="ＭＳ 明朝"/>
          <w:sz w:val="21"/>
        </w:rPr>
      </w:pPr>
      <w:r>
        <w:rPr>
          <w:rFonts w:hint="eastAsia" w:ascii="ＭＳ 明朝" w:hAnsi="ＭＳ 明朝" w:eastAsia="ＭＳ 明朝"/>
          <w:sz w:val="21"/>
        </w:rPr>
        <w:t>　屋内外を連携させ、水遊び、泥遊び、自然とのふれあい等、多様な外遊びの機会を提供すること。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（５）フリー・交流ゾーン／学びと落ち着きゾーン</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　保護者の見守りやリフレッシュ、読書、多世代交流等ができる環境を提供すること。</w:t>
      </w:r>
    </w:p>
    <w:p>
      <w:pPr>
        <w:pStyle w:val="0"/>
        <w:ind w:firstLine="210" w:firstLineChars="10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1"/>
        </w:rPr>
        <w:t>１０　人員配置基準</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受託者は、施設の安全かつ円滑な運営に必要な人員を配置し、利用状況に応じて適切な勤務体制を確保すること。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（１）統括責任者の配置</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　施設全体の安全及び運営を統括する責任者を配置すること。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（２）遊びを支援する職員の配置</w:t>
      </w:r>
    </w:p>
    <w:p>
      <w:pPr>
        <w:pStyle w:val="0"/>
        <w:ind w:left="210" w:leftChars="100" w:firstLine="210" w:firstLineChars="100"/>
        <w:jc w:val="left"/>
        <w:rPr>
          <w:rFonts w:hint="eastAsia" w:ascii="ＭＳ 明朝" w:hAnsi="ＭＳ 明朝" w:eastAsia="ＭＳ 明朝"/>
          <w:sz w:val="21"/>
        </w:rPr>
      </w:pPr>
      <w:r>
        <w:rPr>
          <w:rFonts w:hint="eastAsia" w:ascii="ＭＳ 明朝" w:hAnsi="ＭＳ 明朝" w:eastAsia="ＭＳ 明朝"/>
          <w:sz w:val="21"/>
        </w:rPr>
        <w:t>子どもの遊びの価値を理解し、遊びのきっかけづくり、見守り及び危険予測等を行うプレーリーダー（プレ</w:t>
      </w:r>
      <w:r>
        <w:rPr>
          <w:rFonts w:hint="eastAsia" w:ascii="ＭＳ 明朝" w:hAnsi="ＭＳ 明朝" w:eastAsia="ＭＳ 明朝"/>
          <w:color w:val="auto"/>
          <w:sz w:val="21"/>
        </w:rPr>
        <w:t>ー</w:t>
      </w:r>
      <w:r>
        <w:rPr>
          <w:rFonts w:hint="eastAsia" w:ascii="ＭＳ 明朝" w:hAnsi="ＭＳ 明朝" w:eastAsia="ＭＳ 明朝"/>
          <w:sz w:val="21"/>
        </w:rPr>
        <w:t>ワーカー）又はこれと同等の知識・経験を有する職員を適切に配置すること。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（３）スタッフ体制</w:t>
      </w:r>
    </w:p>
    <w:p>
      <w:pPr>
        <w:pStyle w:val="0"/>
        <w:ind w:left="210" w:leftChars="100" w:firstLine="0" w:firstLineChars="0"/>
        <w:jc w:val="left"/>
        <w:rPr>
          <w:rFonts w:hint="eastAsia" w:ascii="ＭＳ 明朝" w:hAnsi="ＭＳ 明朝" w:eastAsia="ＭＳ 明朝"/>
          <w:sz w:val="21"/>
        </w:rPr>
      </w:pPr>
      <w:r>
        <w:rPr>
          <w:rFonts w:hint="eastAsia" w:ascii="ＭＳ 明朝" w:hAnsi="ＭＳ 明朝" w:eastAsia="ＭＳ 明朝"/>
          <w:sz w:val="21"/>
        </w:rPr>
        <w:t>　乳幼児エリアを含め、利用人数及び施設の利用状況に応じ、安全を確保できる十分なスタッフ体制を構築すること。</w:t>
      </w:r>
    </w:p>
    <w:p>
      <w:pPr>
        <w:pStyle w:val="0"/>
        <w:ind w:left="210" w:leftChars="100" w:firstLine="0" w:firstLineChars="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1"/>
        </w:rPr>
        <w:t>１１　安全管理及びリスク管理</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受託者は、利用者の安全確保を最優先としつつ、子どもの主体的な挑戦や試行錯誤を尊重するものとする。遊びに内在するリスクを適切に管理するとともに、重大な事故につながるハザードの除去に努め、安全な遊び環境を確保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（１）ハザードの把握及び対応</w:t>
      </w:r>
    </w:p>
    <w:p>
      <w:pPr>
        <w:pStyle w:val="0"/>
        <w:ind w:left="210" w:leftChars="100" w:firstLine="0" w:firstLineChars="0"/>
        <w:jc w:val="left"/>
        <w:rPr>
          <w:rFonts w:hint="eastAsia" w:ascii="ＭＳ 明朝" w:hAnsi="ＭＳ 明朝" w:eastAsia="ＭＳ 明朝"/>
          <w:sz w:val="21"/>
        </w:rPr>
      </w:pPr>
      <w:r>
        <w:rPr>
          <w:rFonts w:hint="eastAsia" w:ascii="ＭＳ 明朝" w:hAnsi="ＭＳ 明朝" w:eastAsia="ＭＳ 明朝"/>
          <w:sz w:val="21"/>
        </w:rPr>
        <w:t>　施設の構造、遊具・設備の破損、老朽化その他利用者が予測することが困難な危険について日常点検を行い、異常を発見した場合は必要な応急措置を講じ、速やかに市へ報告すること。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（２）安全管理マニュアル等</w:t>
      </w:r>
    </w:p>
    <w:p>
      <w:pPr>
        <w:pStyle w:val="0"/>
        <w:ind w:left="210" w:leftChars="100" w:firstLine="0" w:firstLineChars="0"/>
        <w:jc w:val="left"/>
        <w:rPr>
          <w:rFonts w:hint="eastAsia" w:ascii="ＭＳ 明朝" w:hAnsi="ＭＳ 明朝" w:eastAsia="ＭＳ 明朝"/>
          <w:sz w:val="21"/>
        </w:rPr>
      </w:pPr>
      <w:r>
        <w:rPr>
          <w:rFonts w:hint="eastAsia" w:ascii="ＭＳ 明朝" w:hAnsi="ＭＳ 明朝" w:eastAsia="ＭＳ 明朝"/>
          <w:sz w:val="21"/>
        </w:rPr>
        <w:t>　受託者は、安全管理、事故・救急対応、災害対応、不審者対応等に必要なマニュアルを整備し、職員に周知するとともに必要な研修及び訓練を行うこと。また、本施設が子どもの主体的な遊びや挑戦を大切にする施設であることについて、利用者及び保護者への適切な周知を行い、その理解促進を図ること。</w:t>
      </w:r>
    </w:p>
    <w:p>
      <w:pPr>
        <w:pStyle w:val="0"/>
        <w:jc w:val="left"/>
        <w:rPr>
          <w:rFonts w:hint="eastAsia" w:ascii="ＭＳ 明朝" w:hAnsi="ＭＳ 明朝" w:eastAsia="ＭＳ 明朝"/>
          <w:sz w:val="21"/>
        </w:rPr>
      </w:pPr>
      <w:r>
        <w:rPr>
          <w:rFonts w:hint="eastAsia" w:ascii="ＭＳ 明朝" w:hAnsi="ＭＳ 明朝" w:eastAsia="ＭＳ 明朝"/>
          <w:sz w:val="21"/>
        </w:rPr>
        <w:t>（３）損害賠償と保険</w:t>
      </w:r>
    </w:p>
    <w:p>
      <w:pPr>
        <w:pStyle w:val="0"/>
        <w:ind w:left="210" w:leftChars="100" w:firstLine="0" w:firstLineChars="0"/>
        <w:jc w:val="left"/>
        <w:rPr>
          <w:rFonts w:hint="eastAsia" w:ascii="ＭＳ 明朝" w:hAnsi="ＭＳ 明朝" w:eastAsia="ＭＳ 明朝"/>
          <w:sz w:val="21"/>
        </w:rPr>
      </w:pPr>
      <w:r>
        <w:rPr>
          <w:rFonts w:hint="eastAsia" w:ascii="ＭＳ 明朝" w:hAnsi="ＭＳ 明朝" w:eastAsia="ＭＳ 明朝"/>
          <w:sz w:val="21"/>
        </w:rPr>
        <w:t>　受託者は、自己の責めに帰すべき事由による事故等に備え、業務内容に応じた十分な補償内容を有する賠償責任保険その他必要な保険に加入</w:t>
      </w:r>
      <w:r>
        <w:rPr>
          <w:rFonts w:hint="eastAsia" w:ascii="ＭＳ 明朝" w:hAnsi="ＭＳ 明朝" w:eastAsia="ＭＳ 明朝"/>
          <w:color w:val="auto"/>
          <w:sz w:val="21"/>
        </w:rPr>
        <w:t>し、保険証書の写しを提出</w:t>
      </w:r>
      <w:r>
        <w:rPr>
          <w:rFonts w:hint="eastAsia" w:ascii="ＭＳ 明朝" w:hAnsi="ＭＳ 明朝" w:eastAsia="ＭＳ 明朝"/>
          <w:sz w:val="21"/>
        </w:rPr>
        <w:t>すること。</w:t>
      </w:r>
    </w:p>
    <w:p>
      <w:pPr>
        <w:pStyle w:val="0"/>
        <w:ind w:left="210" w:leftChars="100" w:firstLine="0" w:firstLineChars="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1"/>
        </w:rPr>
        <w:t>（４）リスク分担</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　市と受託者とのリスク分担については、別途「リスク分担表」に定めるものとする。</w:t>
      </w:r>
    </w:p>
    <w:p>
      <w:pPr>
        <w:pStyle w:val="0"/>
        <w:ind w:firstLine="210" w:firstLineChars="10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1"/>
        </w:rPr>
        <w:t>１２　施設及び設備等の管理</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受託者は、本施設、遊具、備品及び設備等について、日常的な点検、整理、日常清掃、衛生管理その他必要な管理を行い、常に安全かつ良好な状態で利用できるよう努めること。また、異常、破損又は故障等を発見した場合は、利用者の安全確保に必要な応急措置を講じるとともに、速やかに市へ報告すること。</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受託者は、開所前点検、遊具の日常点検、備品及び鍵の管理、防火・防災管理その他施設運営上必要な管理を適切に実施し、その記録を整備すること。</w:t>
      </w:r>
    </w:p>
    <w:p>
      <w:pPr>
        <w:pStyle w:val="0"/>
        <w:ind w:firstLine="210" w:firstLineChars="100"/>
        <w:jc w:val="left"/>
        <w:rPr>
          <w:rFonts w:hint="eastAsia" w:ascii="ＭＳ 明朝" w:hAnsi="ＭＳ 明朝" w:eastAsia="ＭＳ 明朝"/>
          <w:sz w:val="21"/>
        </w:rPr>
      </w:pPr>
    </w:p>
    <w:p>
      <w:pPr>
        <w:pStyle w:val="0"/>
        <w:jc w:val="left"/>
        <w:rPr>
          <w:rFonts w:hint="eastAsia" w:ascii="ＭＳ 明朝" w:hAnsi="ＭＳ 明朝" w:eastAsia="ＭＳ 明朝"/>
          <w:color w:val="auto"/>
          <w:sz w:val="21"/>
        </w:rPr>
      </w:pPr>
      <w:r>
        <w:rPr>
          <w:rFonts w:hint="eastAsia" w:ascii="ＭＳ 明朝" w:hAnsi="ＭＳ 明朝" w:eastAsia="ＭＳ 明朝"/>
          <w:sz w:val="21"/>
        </w:rPr>
        <w:t>１３　使用料</w:t>
      </w:r>
      <w:r>
        <w:rPr>
          <w:rFonts w:hint="eastAsia" w:ascii="ＭＳ 明朝" w:hAnsi="ＭＳ 明朝" w:eastAsia="ＭＳ 明朝"/>
          <w:color w:val="auto"/>
          <w:sz w:val="21"/>
        </w:rPr>
        <w:t>（入館料及びイベント参加料）の設定及び取扱い</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（１）</w:t>
      </w:r>
      <w:r>
        <w:rPr>
          <w:rFonts w:hint="eastAsia" w:ascii="ＭＳ 明朝" w:hAnsi="ＭＳ 明朝" w:eastAsia="ＭＳ 明朝"/>
          <w:sz w:val="21"/>
        </w:rPr>
        <w:t>使用料</w:t>
      </w:r>
      <w:r>
        <w:rPr>
          <w:rFonts w:hint="eastAsia" w:ascii="ＭＳ 明朝" w:hAnsi="ＭＳ 明朝" w:eastAsia="ＭＳ 明朝"/>
          <w:color w:val="auto"/>
          <w:sz w:val="21"/>
        </w:rPr>
        <w:t>の設定</w:t>
      </w:r>
    </w:p>
    <w:p>
      <w:pPr>
        <w:pStyle w:val="0"/>
        <w:ind w:left="210" w:leftChars="100" w:firstLine="210" w:firstLineChars="100"/>
        <w:jc w:val="left"/>
        <w:rPr>
          <w:rFonts w:hint="eastAsia" w:ascii="ＭＳ 明朝" w:hAnsi="ＭＳ 明朝" w:eastAsia="ＭＳ 明朝"/>
          <w:color w:val="auto"/>
          <w:sz w:val="21"/>
        </w:rPr>
      </w:pPr>
      <w:r>
        <w:rPr>
          <w:rFonts w:hint="eastAsia" w:ascii="ＭＳ 明朝" w:hAnsi="ＭＳ 明朝" w:eastAsia="ＭＳ 明朝"/>
          <w:sz w:val="21"/>
        </w:rPr>
        <w:t>使用料</w:t>
      </w:r>
      <w:r>
        <w:rPr>
          <w:rFonts w:hint="eastAsia" w:ascii="ＭＳ 明朝" w:hAnsi="ＭＳ 明朝" w:eastAsia="ＭＳ 明朝"/>
          <w:color w:val="auto"/>
          <w:sz w:val="21"/>
        </w:rPr>
        <w:t>の設定は、本施設の設置目的を踏まえ、子育て世帯等の利用者に過度な負担とならず、気軽に繰り返し利用できるよう、低廉かつ適切な</w:t>
      </w:r>
      <w:r>
        <w:rPr>
          <w:rFonts w:hint="eastAsia" w:ascii="ＭＳ 明朝" w:hAnsi="ＭＳ 明朝" w:eastAsia="ＭＳ 明朝"/>
          <w:sz w:val="21"/>
        </w:rPr>
        <w:t>使用料</w:t>
      </w:r>
      <w:r>
        <w:rPr>
          <w:rFonts w:hint="eastAsia" w:ascii="ＭＳ 明朝" w:hAnsi="ＭＳ 明朝" w:eastAsia="ＭＳ 明朝"/>
          <w:color w:val="auto"/>
          <w:sz w:val="21"/>
        </w:rPr>
        <w:t>を設定するものとする。また、市民の利用促進及び子育て支援の観点から、市内在住者に配慮した料金設定とし、入館料については市内在住者と市外在住者の料金には一定程度の差を設けるものとする。</w:t>
      </w:r>
    </w:p>
    <w:p>
      <w:pPr>
        <w:pStyle w:val="0"/>
        <w:ind w:left="210" w:leftChars="100" w:firstLine="210" w:firstLineChars="100"/>
        <w:jc w:val="left"/>
        <w:rPr>
          <w:rFonts w:hint="eastAsia" w:ascii="ＭＳ 明朝" w:hAnsi="ＭＳ 明朝" w:eastAsia="ＭＳ 明朝"/>
          <w:color w:val="auto"/>
          <w:sz w:val="21"/>
        </w:rPr>
      </w:pPr>
      <w:r>
        <w:rPr>
          <w:rFonts w:hint="eastAsia" w:ascii="ＭＳ 明朝" w:hAnsi="ＭＳ 明朝" w:eastAsia="ＭＳ 明朝"/>
          <w:color w:val="auto"/>
          <w:sz w:val="21"/>
          <w:highlight w:val="none"/>
        </w:rPr>
        <w:t>なお、具体的な料金設定に当たっては、利用者負担への配慮、利用促進及び適切な施設運営を総合的に勘案し</w:t>
      </w:r>
      <w:r>
        <w:rPr>
          <w:rFonts w:hint="eastAsia" w:ascii="ＭＳ 明朝" w:hAnsi="ＭＳ 明朝" w:eastAsia="ＭＳ 明朝"/>
          <w:color w:val="auto"/>
          <w:sz w:val="21"/>
        </w:rPr>
        <w:t>、市が</w:t>
      </w:r>
      <w:r>
        <w:rPr>
          <w:rFonts w:hint="eastAsia" w:ascii="ＭＳ 明朝" w:hAnsi="ＭＳ 明朝" w:eastAsia="ＭＳ 明朝"/>
          <w:color w:val="auto"/>
          <w:sz w:val="21"/>
          <w:highlight w:val="none"/>
        </w:rPr>
        <w:t>設定するものとする。</w:t>
      </w: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（２）</w:t>
      </w:r>
      <w:r>
        <w:rPr>
          <w:rFonts w:hint="eastAsia" w:ascii="ＭＳ 明朝" w:hAnsi="ＭＳ 明朝" w:eastAsia="ＭＳ 明朝"/>
          <w:sz w:val="21"/>
        </w:rPr>
        <w:t>使用料</w:t>
      </w:r>
      <w:r>
        <w:rPr>
          <w:rFonts w:hint="eastAsia" w:ascii="ＭＳ 明朝" w:hAnsi="ＭＳ 明朝" w:eastAsia="ＭＳ 明朝"/>
          <w:color w:val="auto"/>
          <w:sz w:val="21"/>
        </w:rPr>
        <w:t>の取扱い</w:t>
      </w:r>
    </w:p>
    <w:p>
      <w:pPr>
        <w:pStyle w:val="0"/>
        <w:ind w:left="210" w:leftChars="100" w:firstLine="210" w:firstLineChars="100"/>
        <w:jc w:val="left"/>
        <w:rPr>
          <w:rFonts w:hint="eastAsia" w:ascii="ＭＳ 明朝" w:hAnsi="ＭＳ 明朝" w:eastAsia="ＭＳ 明朝"/>
          <w:color w:val="auto"/>
          <w:sz w:val="21"/>
          <w:highlight w:val="yellow"/>
        </w:rPr>
      </w:pPr>
      <w:r>
        <w:rPr>
          <w:rFonts w:hint="eastAsia" w:ascii="ＭＳ 明朝" w:hAnsi="ＭＳ 明朝" w:eastAsia="ＭＳ 明朝"/>
          <w:color w:val="auto"/>
          <w:sz w:val="21"/>
        </w:rPr>
        <w:t>入館料及びイベント参加料、その他本業務において利用者から徴収する料金は、すべて市の歳入とする。</w:t>
      </w:r>
    </w:p>
    <w:p>
      <w:pPr>
        <w:pStyle w:val="0"/>
        <w:ind w:left="210" w:leftChars="100" w:firstLine="210" w:firstLineChars="100"/>
        <w:jc w:val="left"/>
        <w:rPr>
          <w:rFonts w:hint="eastAsia" w:ascii="ＭＳ 明朝" w:hAnsi="ＭＳ 明朝" w:eastAsia="ＭＳ 明朝"/>
          <w:color w:val="auto"/>
          <w:sz w:val="21"/>
          <w:highlight w:val="yellow"/>
        </w:rPr>
      </w:pPr>
      <w:r>
        <w:rPr>
          <w:rFonts w:hint="eastAsia" w:ascii="ＭＳ 明朝" w:hAnsi="ＭＳ 明朝" w:eastAsia="ＭＳ 明朝"/>
          <w:sz w:val="21"/>
        </w:rPr>
        <w:t>使用料</w:t>
      </w:r>
      <w:r>
        <w:rPr>
          <w:rFonts w:hint="eastAsia" w:ascii="ＭＳ 明朝" w:hAnsi="ＭＳ 明朝" w:eastAsia="ＭＳ 明朝"/>
          <w:color w:val="auto"/>
          <w:sz w:val="21"/>
        </w:rPr>
        <w:t>の徴収は受託者が行い、</w:t>
      </w:r>
      <w:r>
        <w:rPr>
          <w:rFonts w:hint="eastAsia" w:ascii="ＭＳ 明朝" w:hAnsi="ＭＳ 明朝" w:eastAsia="ＭＳ 明朝"/>
          <w:color w:val="auto"/>
          <w:sz w:val="21"/>
          <w:highlight w:val="none"/>
        </w:rPr>
        <w:t>受託者は</w:t>
      </w:r>
      <w:r>
        <w:rPr>
          <w:rFonts w:hint="eastAsia" w:ascii="ＭＳ 明朝" w:hAnsi="ＭＳ 明朝" w:eastAsia="ＭＳ 明朝"/>
          <w:color w:val="auto"/>
          <w:sz w:val="21"/>
        </w:rPr>
        <w:t>徴収及び収入の状況を正確に記録するとともに、関係法令その他市が定める手続に基づき、適切に管理すること。</w:t>
      </w:r>
    </w:p>
    <w:p>
      <w:pPr>
        <w:pStyle w:val="0"/>
        <w:ind w:left="210" w:leftChars="100" w:firstLine="210" w:firstLineChars="100"/>
        <w:jc w:val="left"/>
        <w:rPr>
          <w:rFonts w:hint="eastAsia" w:ascii="ＭＳ 明朝" w:hAnsi="ＭＳ 明朝" w:eastAsia="ＭＳ 明朝"/>
          <w:color w:val="0070C0"/>
          <w:sz w:val="21"/>
        </w:rPr>
      </w:pPr>
      <w:r>
        <w:rPr>
          <w:rFonts w:hint="eastAsia" w:ascii="ＭＳ 明朝" w:hAnsi="ＭＳ 明朝" w:eastAsia="ＭＳ 明朝"/>
          <w:color w:val="auto"/>
          <w:sz w:val="21"/>
        </w:rPr>
        <w:t>受託者は、徴収した</w:t>
      </w:r>
      <w:r>
        <w:rPr>
          <w:rFonts w:hint="eastAsia" w:ascii="ＭＳ 明朝" w:hAnsi="ＭＳ 明朝" w:eastAsia="ＭＳ 明朝"/>
          <w:sz w:val="21"/>
        </w:rPr>
        <w:t>使用料</w:t>
      </w:r>
      <w:r>
        <w:rPr>
          <w:rFonts w:hint="eastAsia" w:ascii="ＭＳ 明朝" w:hAnsi="ＭＳ 明朝" w:eastAsia="ＭＳ 明朝"/>
          <w:color w:val="auto"/>
          <w:sz w:val="21"/>
        </w:rPr>
        <w:t>について、後記１４に規定する月間報告書によりその徴収状況を市に報告するとともに、翌月</w:t>
      </w:r>
      <w:r>
        <w:rPr>
          <w:rFonts w:hint="eastAsia" w:ascii="ＭＳ 明朝" w:hAnsi="ＭＳ 明朝" w:eastAsia="ＭＳ 明朝"/>
          <w:color w:val="auto"/>
          <w:sz w:val="21"/>
        </w:rPr>
        <w:t>20</w:t>
      </w:r>
      <w:r>
        <w:rPr>
          <w:rFonts w:hint="eastAsia" w:ascii="ＭＳ 明朝" w:hAnsi="ＭＳ 明朝" w:eastAsia="ＭＳ 明朝"/>
          <w:color w:val="auto"/>
          <w:sz w:val="21"/>
        </w:rPr>
        <w:t>日までに市へ納入すること。</w:t>
      </w:r>
    </w:p>
    <w:p>
      <w:pPr>
        <w:pStyle w:val="0"/>
        <w:ind w:left="210" w:leftChars="100" w:firstLine="0" w:firstLineChars="0"/>
        <w:jc w:val="left"/>
        <w:rPr>
          <w:rFonts w:hint="eastAsia" w:ascii="ＭＳ 明朝" w:hAnsi="ＭＳ 明朝" w:eastAsia="ＭＳ 明朝"/>
          <w:sz w:val="21"/>
        </w:rPr>
      </w:pPr>
    </w:p>
    <w:p>
      <w:pPr>
        <w:pStyle w:val="0"/>
        <w:jc w:val="left"/>
        <w:rPr>
          <w:rFonts w:hint="eastAsia" w:ascii="ＭＳ 明朝" w:hAnsi="ＭＳ 明朝" w:eastAsia="ＭＳ 明朝"/>
          <w:sz w:val="21"/>
        </w:rPr>
      </w:pPr>
      <w:r>
        <w:rPr>
          <w:rFonts w:hint="eastAsia" w:ascii="ＭＳ 明朝" w:hAnsi="ＭＳ 明朝" w:eastAsia="ＭＳ 明朝"/>
          <w:sz w:val="21"/>
        </w:rPr>
        <w:t>１４　業務報告及び評価</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sz w:val="21"/>
        </w:rPr>
        <w:t>受託者は、施設の適切な運営及び継続的な改善を図るため、次の報告を行うこと。</w:t>
      </w:r>
    </w:p>
    <w:p>
      <w:pPr>
        <w:pStyle w:val="0"/>
        <w:jc w:val="left"/>
        <w:rPr>
          <w:rFonts w:hint="eastAsia" w:ascii="ＭＳ 明朝" w:hAnsi="ＭＳ 明朝" w:eastAsia="ＭＳ 明朝"/>
          <w:sz w:val="21"/>
        </w:rPr>
      </w:pPr>
      <w:r>
        <w:rPr>
          <w:rFonts w:hint="eastAsia" w:ascii="ＭＳ 明朝" w:hAnsi="ＭＳ 明朝" w:eastAsia="ＭＳ 明朝"/>
          <w:sz w:val="21"/>
        </w:rPr>
        <w:t>（１）月間報告書</w:t>
      </w:r>
    </w:p>
    <w:p>
      <w:pPr>
        <w:pStyle w:val="0"/>
        <w:ind w:left="210" w:leftChars="100" w:firstLine="0" w:firstLineChars="0"/>
        <w:jc w:val="left"/>
        <w:rPr>
          <w:rFonts w:hint="eastAsia" w:ascii="ＭＳ 明朝" w:hAnsi="ＭＳ 明朝" w:eastAsia="ＭＳ 明朝"/>
          <w:sz w:val="21"/>
        </w:rPr>
      </w:pPr>
      <w:r>
        <w:rPr>
          <w:rFonts w:hint="eastAsia" w:ascii="ＭＳ 明朝" w:hAnsi="ＭＳ 明朝" w:eastAsia="ＭＳ 明朝"/>
          <w:sz w:val="21"/>
        </w:rPr>
        <w:t>　利用者数、使用料の徴収及び収入の状況、イベント等の実施状況、事故・けが・ヒヤリハット、苦情・要望、施設・遊具等の異常、広報・利用促進の実績その他市が必要と認める事項について、月間報告書を翌月</w:t>
      </w:r>
      <w:r>
        <w:rPr>
          <w:rFonts w:hint="eastAsia" w:ascii="ＭＳ 明朝" w:hAnsi="ＭＳ 明朝" w:eastAsia="ＭＳ 明朝"/>
          <w:sz w:val="21"/>
        </w:rPr>
        <w:t>20</w:t>
      </w:r>
      <w:r>
        <w:rPr>
          <w:rFonts w:hint="eastAsia" w:ascii="ＭＳ 明朝" w:hAnsi="ＭＳ 明朝" w:eastAsia="ＭＳ 明朝"/>
          <w:sz w:val="21"/>
        </w:rPr>
        <w:t>日までに提出すること。</w:t>
      </w:r>
    </w:p>
    <w:p>
      <w:pPr>
        <w:pStyle w:val="0"/>
        <w:jc w:val="left"/>
        <w:rPr>
          <w:rFonts w:hint="eastAsia" w:ascii="ＭＳ 明朝" w:hAnsi="ＭＳ 明朝" w:eastAsia="ＭＳ 明朝"/>
          <w:sz w:val="21"/>
        </w:rPr>
      </w:pPr>
      <w:r>
        <w:rPr>
          <w:rFonts w:hint="eastAsia" w:ascii="ＭＳ 明朝" w:hAnsi="ＭＳ 明朝" w:eastAsia="ＭＳ 明朝"/>
          <w:sz w:val="21"/>
        </w:rPr>
        <w:t>（２）年間実績報告書</w:t>
      </w:r>
    </w:p>
    <w:p>
      <w:pPr>
        <w:pStyle w:val="0"/>
        <w:ind w:left="210" w:leftChars="100" w:firstLine="0" w:firstLineChars="0"/>
        <w:jc w:val="left"/>
        <w:rPr>
          <w:rFonts w:hint="eastAsia" w:ascii="ＭＳ 明朝" w:hAnsi="ＭＳ 明朝" w:eastAsia="ＭＳ 明朝"/>
          <w:sz w:val="21"/>
        </w:rPr>
      </w:pPr>
      <w:r>
        <w:rPr>
          <w:rFonts w:hint="eastAsia" w:ascii="ＭＳ 明朝" w:hAnsi="ＭＳ 明朝" w:eastAsia="ＭＳ 明朝"/>
          <w:sz w:val="21"/>
        </w:rPr>
        <w:t>　年度末に</w:t>
      </w:r>
      <w:r>
        <w:rPr>
          <w:rFonts w:hint="eastAsia" w:ascii="ＭＳ 明朝" w:hAnsi="ＭＳ 明朝" w:eastAsia="ＭＳ 明朝"/>
          <w:color w:val="auto"/>
          <w:sz w:val="21"/>
        </w:rPr>
        <w:t>業務</w:t>
      </w:r>
      <w:r>
        <w:rPr>
          <w:rFonts w:hint="eastAsia" w:ascii="ＭＳ 明朝" w:hAnsi="ＭＳ 明朝" w:eastAsia="ＭＳ 明朝"/>
          <w:sz w:val="21"/>
        </w:rPr>
        <w:t>全体の実績及び課題を整理し、利用者満足度や施設運営の改善状況等を踏まえ、次年度に向けた改善提案を含む年間実績報告書を提出すること。</w:t>
      </w:r>
    </w:p>
    <w:p>
      <w:pPr>
        <w:pStyle w:val="0"/>
        <w:ind w:left="210" w:leftChars="100" w:firstLine="0" w:firstLineChars="0"/>
        <w:jc w:val="left"/>
        <w:rPr>
          <w:rFonts w:hint="eastAsia" w:ascii="ＭＳ 明朝" w:hAnsi="ＭＳ 明朝" w:eastAsia="ＭＳ 明朝"/>
          <w:sz w:val="21"/>
        </w:rPr>
      </w:pP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１５　災害発生時の対応</w:t>
      </w:r>
    </w:p>
    <w:p>
      <w:pPr>
        <w:pStyle w:val="0"/>
        <w:ind w:left="0" w:leftChars="0" w:firstLine="210" w:firstLineChars="100"/>
        <w:jc w:val="left"/>
        <w:rPr>
          <w:rFonts w:hint="eastAsia" w:ascii="ＭＳ 明朝" w:hAnsi="ＭＳ 明朝" w:eastAsia="ＭＳ 明朝"/>
          <w:color w:val="auto"/>
          <w:sz w:val="21"/>
        </w:rPr>
      </w:pPr>
      <w:r>
        <w:rPr>
          <w:rFonts w:hint="eastAsia" w:ascii="ＭＳ 明朝" w:hAnsi="ＭＳ 明朝" w:eastAsia="ＭＳ 明朝"/>
          <w:color w:val="auto"/>
          <w:sz w:val="21"/>
        </w:rPr>
        <w:t>地震や風水害等の災害発生時において、市が避難所として本施設を使用する場合には、受託者は市の指示に基づき、施設の開放その他必要な対応に協力すること。</w:t>
      </w:r>
    </w:p>
    <w:p>
      <w:pPr>
        <w:pStyle w:val="0"/>
        <w:ind w:left="0" w:leftChars="0" w:firstLine="210" w:firstLineChars="100"/>
        <w:jc w:val="left"/>
        <w:rPr>
          <w:rFonts w:hint="eastAsia" w:ascii="ＭＳ 明朝" w:hAnsi="ＭＳ 明朝" w:eastAsia="ＭＳ 明朝"/>
          <w:color w:val="auto"/>
          <w:sz w:val="21"/>
        </w:rPr>
      </w:pP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１６　個人情報の保護及び守秘義務</w:t>
      </w:r>
    </w:p>
    <w:p>
      <w:pPr>
        <w:pStyle w:val="0"/>
        <w:ind w:firstLine="210" w:firstLineChars="100"/>
        <w:jc w:val="left"/>
        <w:rPr>
          <w:rFonts w:hint="eastAsia" w:ascii="ＭＳ 明朝" w:hAnsi="ＭＳ 明朝" w:eastAsia="ＭＳ 明朝"/>
          <w:color w:val="auto"/>
          <w:sz w:val="21"/>
        </w:rPr>
      </w:pPr>
      <w:r>
        <w:rPr>
          <w:rFonts w:hint="eastAsia" w:ascii="ＭＳ 明朝" w:hAnsi="ＭＳ 明朝" w:eastAsia="ＭＳ 明朝"/>
          <w:color w:val="auto"/>
          <w:sz w:val="21"/>
        </w:rPr>
        <w:t>受託者は、本業務の遂行に関して知り得た個人情報等の秘密を第三者に漏らしてはならない。委託期間終了後も同様とする。</w:t>
      </w:r>
    </w:p>
    <w:p>
      <w:pPr>
        <w:pStyle w:val="0"/>
        <w:ind w:firstLine="210" w:firstLineChars="100"/>
        <w:jc w:val="left"/>
        <w:rPr>
          <w:rFonts w:hint="eastAsia" w:ascii="ＭＳ 明朝" w:hAnsi="ＭＳ 明朝" w:eastAsia="ＭＳ 明朝"/>
          <w:color w:val="auto"/>
          <w:sz w:val="21"/>
        </w:rPr>
      </w:pP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１７　再委託の禁止</w:t>
      </w:r>
    </w:p>
    <w:p>
      <w:pPr>
        <w:pStyle w:val="0"/>
        <w:ind w:firstLine="210" w:firstLineChars="100"/>
        <w:jc w:val="left"/>
        <w:rPr>
          <w:rFonts w:hint="eastAsia" w:ascii="ＭＳ 明朝" w:hAnsi="ＭＳ 明朝" w:eastAsia="ＭＳ 明朝"/>
          <w:color w:val="auto"/>
          <w:sz w:val="21"/>
        </w:rPr>
      </w:pPr>
      <w:r>
        <w:rPr>
          <w:rFonts w:hint="eastAsia" w:ascii="ＭＳ 明朝" w:hAnsi="ＭＳ 明朝" w:eastAsia="ＭＳ 明朝"/>
          <w:color w:val="auto"/>
          <w:sz w:val="21"/>
        </w:rPr>
        <w:t>受託者は、本業務の全部又は主たる部分を第三者に委託し、又は請け負わせてはならない。</w:t>
      </w:r>
    </w:p>
    <w:p>
      <w:pPr>
        <w:pStyle w:val="0"/>
        <w:ind w:firstLine="210" w:firstLineChars="100"/>
        <w:jc w:val="left"/>
        <w:rPr>
          <w:rFonts w:hint="eastAsia" w:ascii="ＭＳ 明朝" w:hAnsi="ＭＳ 明朝" w:eastAsia="ＭＳ 明朝"/>
          <w:color w:val="auto"/>
          <w:sz w:val="21"/>
        </w:rPr>
      </w:pPr>
      <w:r>
        <w:rPr>
          <w:rFonts w:hint="eastAsia" w:ascii="ＭＳ 明朝" w:hAnsi="ＭＳ 明朝" w:eastAsia="ＭＳ 明朝"/>
          <w:color w:val="auto"/>
          <w:sz w:val="21"/>
        </w:rPr>
        <w:t>ただし、専門的な技術を要する業務等で、あらかじめ市の書面による承諾を得た場合はこの限りではない。</w:t>
      </w:r>
    </w:p>
    <w:p>
      <w:pPr>
        <w:pStyle w:val="0"/>
        <w:ind w:firstLine="210" w:firstLineChars="100"/>
        <w:jc w:val="left"/>
        <w:rPr>
          <w:rFonts w:hint="eastAsia" w:ascii="ＭＳ 明朝" w:hAnsi="ＭＳ 明朝" w:eastAsia="ＭＳ 明朝"/>
          <w:color w:val="auto"/>
          <w:sz w:val="21"/>
        </w:rPr>
      </w:pPr>
    </w:p>
    <w:p>
      <w:pPr>
        <w:pStyle w:val="0"/>
        <w:jc w:val="left"/>
        <w:rPr>
          <w:rFonts w:hint="eastAsia" w:ascii="ＭＳ 明朝" w:hAnsi="ＭＳ 明朝" w:eastAsia="ＭＳ 明朝"/>
          <w:color w:val="auto"/>
          <w:sz w:val="21"/>
        </w:rPr>
      </w:pPr>
      <w:r>
        <w:rPr>
          <w:rFonts w:hint="eastAsia" w:ascii="ＭＳ 明朝" w:hAnsi="ＭＳ 明朝" w:eastAsia="ＭＳ 明朝"/>
          <w:color w:val="auto"/>
          <w:sz w:val="21"/>
        </w:rPr>
        <w:t>１８　その他</w:t>
      </w:r>
    </w:p>
    <w:p>
      <w:pPr>
        <w:pStyle w:val="0"/>
        <w:ind w:firstLine="210" w:firstLineChars="100"/>
        <w:jc w:val="left"/>
        <w:rPr>
          <w:rFonts w:hint="eastAsia" w:ascii="ＭＳ 明朝" w:hAnsi="ＭＳ 明朝" w:eastAsia="ＭＳ 明朝"/>
          <w:sz w:val="21"/>
        </w:rPr>
      </w:pPr>
      <w:r>
        <w:rPr>
          <w:rFonts w:hint="eastAsia" w:ascii="ＭＳ 明朝" w:hAnsi="ＭＳ 明朝" w:eastAsia="ＭＳ 明朝"/>
          <w:color w:val="auto"/>
          <w:sz w:val="21"/>
        </w:rPr>
        <w:t>本仕様書に定めのない事項又</w:t>
      </w:r>
      <w:r>
        <w:rPr>
          <w:rFonts w:hint="eastAsia" w:ascii="ＭＳ 明朝" w:hAnsi="ＭＳ 明朝" w:eastAsia="ＭＳ 明朝"/>
          <w:sz w:val="21"/>
        </w:rPr>
        <w:t>は疑義が生じた事項については、必要に応じて市と受託者が協議の上定めるものとする。</w:t>
      </w:r>
    </w:p>
    <w:sectPr>
      <w:footerReference r:id="rId5" w:type="default"/>
      <w:pgSz w:w="11906" w:h="16838"/>
      <w:pgMar w:top="1417" w:right="1417" w:bottom="1417" w:left="1417"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eastAsia" w:ascii="BIZ UDゴシック" w:hAnsi="BIZ UDゴシック" w:eastAsia="BIZ UDゴシック"/>
      </w:rPr>
      <w:alias w:val=""/>
      <w:tag w:val=""/>
      <w:lock w:val="unlocked"/>
      <w:docPartObj>
        <w:docPartGallery w:val="Page Numbers (Bottom of Page)"/>
        <w:docPartUnique/>
      </w:docPartObj>
    </w:sdtPr>
    <w:sdtEndPr>
      <w:rPr>
        <w:rFonts w:hint="eastAsia" w:ascii="BIZ UDゴシック" w:hAnsi="BIZ UDゴシック" w:eastAsia="BIZ UDゴシック"/>
      </w:rPr>
    </w:sdtEndPr>
    <w:sdtContent>
      <w:p>
        <w:pPr>
          <w:pStyle w:val="0"/>
          <w:jc w:val="center"/>
          <w:rPr>
            <w:rFonts w:hint="eastAsia" w:ascii="BIZ UDゴシック" w:hAnsi="BIZ UDゴシック" w:eastAsia="BIZ UDゴシック"/>
          </w:rPr>
        </w:pPr>
        <w:r>
          <w:rPr>
            <w:rFonts w:hint="eastAsia"/>
          </w:rPr>
          <w:fldChar w:fldCharType="begin"/>
        </w:r>
        <w:r>
          <w:rPr>
            <w:rFonts w:hint="eastAsia"/>
          </w:rPr>
          <w:instrText xml:space="preserve">PAGE  \* MERGEFORMAT </w:instrText>
        </w:r>
        <w:r>
          <w:rPr>
            <w:rFonts w:hint="eastAsia"/>
          </w:rPr>
          <w:fldChar w:fldCharType="separate"/>
        </w:r>
        <w:r>
          <w:rPr>
            <w:rStyle w:val="17"/>
            <w:rFonts w:hint="eastAsia" w:ascii="BIZ UDゴシック" w:hAnsi="BIZ UDゴシック" w:eastAsia="BIZ UDゴシック"/>
          </w:rPr>
          <w:t>4</w:t>
        </w:r>
        <w:r>
          <w:rPr>
            <w:rFonts w:hint="eastAsia"/>
          </w:rPr>
          <w:fldChar w:fldCharType="end"/>
        </w:r>
      </w:p>
      <w:p>
        <w:pPr>
          <w:pStyle w:val="0"/>
          <w:jc w:val="center"/>
          <w:rPr>
            <w:rFonts w:hint="default"/>
          </w:rPr>
        </w:pPr>
      </w:p>
    </w:sdtContent>
  </w:sdt>
  <w:p>
    <w:pPr>
      <w:pStyle w:val="0"/>
      <w:rPr>
        <w:rFonts w:hint="eastAsia" w:ascii="BIZ UDゴシック" w:hAnsi="BIZ UDゴシック" w:eastAsia="BIZ UDゴシック"/>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character" w:styleId="17">
    <w:name w:val="page number"/>
    <w:basedOn w:val="10"/>
    <w:next w:val="17"/>
    <w:link w:val="0"/>
    <w:uiPriority w:val="0"/>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508</TotalTime>
  <Pages>5</Pages>
  <Words>20</Words>
  <Characters>3946</Characters>
  <Application>JUST Note</Application>
  <Lines>164</Lines>
  <Paragraphs>93</Paragraphs>
  <Company>HP Inc.</Company>
  <CharactersWithSpaces>3982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fukushi</dc:creator>
  <cp:lastModifiedBy>fukushi</cp:lastModifiedBy>
  <cp:lastPrinted>2026-10-05T05:36:52Z</cp:lastPrinted>
  <dcterms:created xsi:type="dcterms:W3CDTF">2026-07-14T06:08:00Z</dcterms:created>
  <dcterms:modified xsi:type="dcterms:W3CDTF">2026-10-06T23:48:30Z</dcterms:modified>
  <cp:revision>22</cp:revision>
</cp:coreProperties>
</file>